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7155A" w:rsidP="007E2170" w:rsidRDefault="0017155A" w14:paraId="448F397C" w14:textId="2AC16A3D">
      <w:pPr>
        <w:pStyle w:val="paragraph"/>
        <w:jc w:val="center"/>
        <w:textAlignment w:val="baseline"/>
        <w:rPr>
          <w:rStyle w:val="normaltextrun1"/>
          <w:b/>
          <w:bCs/>
          <w:color w:val="1F4E79"/>
          <w:sz w:val="32"/>
          <w:szCs w:val="32"/>
          <w:u w:val="single"/>
          <w:lang w:val="en-GB"/>
        </w:rPr>
      </w:pPr>
      <w:r>
        <w:rPr>
          <w:b/>
          <w:bCs/>
          <w:noProof/>
          <w:color w:val="1F4E79"/>
          <w:sz w:val="32"/>
          <w:szCs w:val="32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59156746" wp14:editId="137020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720725"/>
            <wp:effectExtent l="0" t="0" r="0" b="3175"/>
            <wp:wrapSquare wrapText="bothSides"/>
            <wp:docPr id="2045585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85114" name="Picture 20455851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55A" w:rsidP="007E2170" w:rsidRDefault="0017155A" w14:paraId="3A877557" w14:textId="77777777">
      <w:pPr>
        <w:pStyle w:val="paragraph"/>
        <w:jc w:val="center"/>
        <w:textAlignment w:val="baseline"/>
        <w:rPr>
          <w:rStyle w:val="normaltextrun1"/>
          <w:b/>
          <w:bCs/>
          <w:color w:val="1F4E79"/>
          <w:sz w:val="32"/>
          <w:szCs w:val="32"/>
          <w:u w:val="single"/>
          <w:lang w:val="en-GB"/>
        </w:rPr>
      </w:pPr>
    </w:p>
    <w:p w:rsidRPr="007E2170" w:rsidR="007E2170" w:rsidP="007E2170" w:rsidRDefault="007E2170" w14:paraId="70B73A2F" w14:textId="459D31AC">
      <w:pPr>
        <w:pStyle w:val="paragraph"/>
        <w:jc w:val="center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1"/>
          <w:b/>
          <w:bCs/>
          <w:color w:val="1F4E79"/>
          <w:sz w:val="32"/>
          <w:szCs w:val="32"/>
          <w:u w:val="single"/>
          <w:lang w:val="en-GB"/>
        </w:rPr>
        <w:t xml:space="preserve">Termes de </w:t>
      </w:r>
      <w:proofErr w:type="spellStart"/>
      <w:r>
        <w:rPr>
          <w:rStyle w:val="normaltextrun1"/>
          <w:b/>
          <w:bCs/>
          <w:color w:val="1F4E79"/>
          <w:sz w:val="32"/>
          <w:szCs w:val="32"/>
          <w:u w:val="single"/>
          <w:lang w:val="en-GB"/>
        </w:rPr>
        <w:t>Référence</w:t>
      </w:r>
      <w:proofErr w:type="spellEnd"/>
      <w:r>
        <w:rPr>
          <w:rStyle w:val="normaltextrun1"/>
          <w:b/>
          <w:bCs/>
          <w:color w:val="1F4E79"/>
          <w:sz w:val="32"/>
          <w:szCs w:val="32"/>
          <w:u w:val="single"/>
          <w:lang w:val="en-GB"/>
        </w:rPr>
        <w:t xml:space="preserve"> pour le Programme </w:t>
      </w:r>
      <w:proofErr w:type="spellStart"/>
      <w:r>
        <w:rPr>
          <w:rStyle w:val="normaltextrun1"/>
          <w:b/>
          <w:bCs/>
          <w:color w:val="1F4E79"/>
          <w:sz w:val="32"/>
          <w:szCs w:val="32"/>
          <w:u w:val="single"/>
          <w:lang w:val="en-GB"/>
        </w:rPr>
        <w:t>d'</w:t>
      </w:r>
      <w:r w:rsidRPr="00113C57" w:rsidR="00113C57">
        <w:rPr>
          <w:b/>
          <w:bCs/>
          <w:color w:val="1F4E79"/>
          <w:sz w:val="32"/>
          <w:szCs w:val="32"/>
          <w:u w:val="single"/>
          <w:lang w:val="en-GB"/>
        </w:rPr>
        <w:t>Échange</w:t>
      </w:r>
      <w:proofErr w:type="spellEnd"/>
      <w:r w:rsidRPr="00113C57" w:rsidR="00113C57">
        <w:rPr>
          <w:b/>
          <w:bCs/>
          <w:color w:val="1F4E79"/>
          <w:sz w:val="32"/>
          <w:szCs w:val="32"/>
          <w:u w:val="single"/>
          <w:lang w:val="en-GB"/>
        </w:rPr>
        <w:t xml:space="preserve"> </w:t>
      </w:r>
      <w:proofErr w:type="spellStart"/>
      <w:r w:rsidRPr="00113C57" w:rsidR="00113C57">
        <w:rPr>
          <w:b/>
          <w:bCs/>
          <w:color w:val="1F4E79"/>
          <w:sz w:val="32"/>
          <w:szCs w:val="32"/>
          <w:u w:val="single"/>
          <w:lang w:val="en-GB"/>
        </w:rPr>
        <w:t>d'Apprentissage</w:t>
      </w:r>
      <w:proofErr w:type="spellEnd"/>
      <w:r w:rsidRPr="00113C57" w:rsidR="00113C57">
        <w:rPr>
          <w:b/>
          <w:bCs/>
          <w:color w:val="1F4E79"/>
          <w:sz w:val="32"/>
          <w:szCs w:val="32"/>
          <w:u w:val="single"/>
          <w:lang w:val="en-GB"/>
        </w:rPr>
        <w:t xml:space="preserve"> </w:t>
      </w:r>
      <w:proofErr w:type="spellStart"/>
      <w:r w:rsidRPr="00113C57" w:rsidR="00113C57">
        <w:rPr>
          <w:b/>
          <w:bCs/>
          <w:color w:val="1F4E79"/>
          <w:sz w:val="32"/>
          <w:szCs w:val="32"/>
          <w:u w:val="single"/>
          <w:lang w:val="en-GB"/>
        </w:rPr>
        <w:t>Transfrontalier</w:t>
      </w:r>
      <w:proofErr w:type="spellEnd"/>
      <w:r w:rsidR="00113C57">
        <w:rPr>
          <w:b/>
          <w:bCs/>
          <w:color w:val="1F4E79"/>
          <w:sz w:val="32"/>
          <w:szCs w:val="32"/>
          <w:u w:val="single"/>
          <w:lang w:val="en-GB"/>
        </w:rPr>
        <w:t xml:space="preserve"> (CCLE)</w:t>
      </w:r>
      <w:r w:rsidRPr="007E2170">
        <w:rPr>
          <w:rFonts w:ascii="Calibri" w:hAnsi="Calibri" w:cs="Calibri"/>
          <w:sz w:val="32"/>
          <w:szCs w:val="32"/>
        </w:rPr>
        <w:t xml:space="preserve"> </w:t>
      </w:r>
    </w:p>
    <w:p w:rsidR="00034551" w:rsidP="00034551" w:rsidRDefault="00034551" w14:paraId="40401629" w14:textId="77777777">
      <w:pPr>
        <w:pStyle w:val="paragraph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:rsidR="00034551" w:rsidP="00034551" w:rsidRDefault="00034551" w14:paraId="759EEABF" w14:textId="77777777">
      <w:pPr>
        <w:pStyle w:val="paragraph"/>
        <w:jc w:val="center"/>
        <w:textAlignment w:val="baseline"/>
      </w:pPr>
    </w:p>
    <w:p w:rsidRPr="00A1557B" w:rsidR="00A1557B" w:rsidP="00A1557B" w:rsidRDefault="00A1557B" w14:paraId="6CA0A901" w14:textId="39A6133A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7967076A">
        <w:rPr>
          <w:rStyle w:val="eop"/>
          <w:rFonts w:ascii="Calibri" w:hAnsi="Calibri" w:cs="Calibri"/>
          <w:sz w:val="20"/>
          <w:szCs w:val="20"/>
        </w:rPr>
        <w:t xml:space="preserve">Le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programme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CCLE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offre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des 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opportunités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d'apprentissage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et de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fertilisation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entre les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praticiens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de 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l’IPC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</w:t>
      </w:r>
      <w:r w:rsidRPr="7967076A">
        <w:rPr>
          <w:rStyle w:val="eop"/>
          <w:rFonts w:ascii="Calibri" w:hAnsi="Calibri" w:cs="Calibri"/>
          <w:sz w:val="20"/>
          <w:szCs w:val="20"/>
        </w:rPr>
        <w:t xml:space="preserve">dans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différents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pays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afin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de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renforcer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les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compétences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techniques et de facilitation tout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en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satisfaisant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aux </w:t>
      </w:r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exigences de certification de 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l’IPC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.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Il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est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</w:t>
      </w:r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>leinement</w:t>
      </w:r>
      <w:proofErr w:type="spellEnd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>intégré</w:t>
      </w:r>
      <w:proofErr w:type="spellEnd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>Programme</w:t>
      </w:r>
      <w:proofErr w:type="spellEnd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>S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tratégique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>Global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(</w:t>
      </w:r>
      <w:r w:rsidRPr="0017155A" w:rsidR="00113C57">
        <w:rPr>
          <w:rStyle w:val="eop"/>
          <w:rFonts w:ascii="Calibri" w:hAnsi="Calibri" w:cs="Calibri"/>
          <w:sz w:val="20"/>
          <w:szCs w:val="20"/>
          <w:lang w:val="es-419"/>
        </w:rPr>
        <w:t>GSP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)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l'IPC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20</w:t>
      </w:r>
      <w:r w:rsidRPr="0017155A" w:rsidR="57DAD2B8">
        <w:rPr>
          <w:rStyle w:val="eop"/>
          <w:rFonts w:ascii="Calibri" w:hAnsi="Calibri" w:cs="Calibri"/>
          <w:sz w:val="20"/>
          <w:szCs w:val="20"/>
          <w:lang w:val="es-419"/>
        </w:rPr>
        <w:t>23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- 202</w:t>
      </w:r>
      <w:r w:rsidRPr="0017155A" w:rsidR="0372DBAC">
        <w:rPr>
          <w:rStyle w:val="eop"/>
          <w:rFonts w:ascii="Calibri" w:hAnsi="Calibri" w:cs="Calibri"/>
          <w:sz w:val="20"/>
          <w:szCs w:val="20"/>
          <w:lang w:val="es-419"/>
        </w:rPr>
        <w:t>6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contribue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premier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résultat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à savoir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l'amélioration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qualité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résultats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l'IPC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. Un CCLE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est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un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analyste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soutenu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r w:rsidRPr="0017155A">
        <w:rPr>
          <w:rStyle w:val="eop"/>
          <w:rFonts w:asciiTheme="minorHAnsi" w:hAnsiTheme="minorHAnsi" w:cstheme="minorBidi"/>
          <w:sz w:val="20"/>
          <w:szCs w:val="20"/>
          <w:lang w:val="es-419"/>
        </w:rPr>
        <w:t xml:space="preserve">par </w:t>
      </w:r>
      <w:proofErr w:type="spellStart"/>
      <w:r w:rsidRPr="0017155A" w:rsidR="00113C57">
        <w:rPr>
          <w:rFonts w:asciiTheme="minorHAnsi" w:hAnsiTheme="minorHAnsi" w:cstheme="minorBidi"/>
          <w:sz w:val="20"/>
          <w:szCs w:val="20"/>
          <w:lang w:val="es-419"/>
        </w:rPr>
        <w:t>l’USG</w:t>
      </w:r>
      <w:proofErr w:type="spellEnd"/>
      <w:r w:rsidRPr="0017155A" w:rsidR="00113C57">
        <w:rPr>
          <w:rFonts w:asciiTheme="minorHAnsi" w:hAnsiTheme="minorHAnsi" w:cstheme="minorBidi"/>
          <w:sz w:val="20"/>
          <w:szCs w:val="20"/>
          <w:lang w:val="es-419"/>
        </w:rPr>
        <w:t xml:space="preserve"> (</w:t>
      </w:r>
      <w:proofErr w:type="spellStart"/>
      <w:r w:rsidRPr="0017155A" w:rsidR="00113C57">
        <w:rPr>
          <w:rFonts w:asciiTheme="minorHAnsi" w:hAnsiTheme="minorHAnsi" w:cstheme="minorBidi"/>
          <w:sz w:val="20"/>
          <w:szCs w:val="20"/>
          <w:lang w:val="es-419"/>
        </w:rPr>
        <w:t>Unité</w:t>
      </w:r>
      <w:proofErr w:type="spellEnd"/>
      <w:r w:rsidRPr="0017155A" w:rsidR="00113C57">
        <w:rPr>
          <w:rFonts w:asciiTheme="minorHAnsi" w:hAnsiTheme="minorHAnsi" w:cstheme="minorBidi"/>
          <w:sz w:val="20"/>
          <w:szCs w:val="20"/>
          <w:lang w:val="es-419"/>
        </w:rPr>
        <w:t xml:space="preserve"> de </w:t>
      </w:r>
      <w:proofErr w:type="spellStart"/>
      <w:r w:rsidRPr="0017155A" w:rsidR="00113C57">
        <w:rPr>
          <w:rFonts w:asciiTheme="minorHAnsi" w:hAnsiTheme="minorHAnsi" w:cstheme="minorBidi"/>
          <w:sz w:val="20"/>
          <w:szCs w:val="20"/>
          <w:lang w:val="es-419"/>
        </w:rPr>
        <w:t>Soutien</w:t>
      </w:r>
      <w:proofErr w:type="spellEnd"/>
      <w:r w:rsidRPr="0017155A" w:rsidR="00113C57">
        <w:rPr>
          <w:rFonts w:asciiTheme="minorHAnsi" w:hAnsiTheme="minorHAnsi" w:cstheme="minorBidi"/>
          <w:sz w:val="20"/>
          <w:szCs w:val="20"/>
          <w:lang w:val="es-419"/>
        </w:rPr>
        <w:t xml:space="preserve"> Global)</w:t>
      </w:r>
      <w:r w:rsidRPr="0017155A" w:rsidR="00113C57">
        <w:rPr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pour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passer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son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processus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certification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IPC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niveau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2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ou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3.  Un CCLE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doit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être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certifié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moins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niveau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1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pour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être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inscrit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.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Lorsqu'il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est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affecté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à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une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analyse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, le CCLE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demande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à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s'engager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en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tant que co-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facilitateur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(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candidat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L2)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ou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co-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facilitateur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principal</w:t>
      </w:r>
      <w:r w:rsidRPr="7967076A">
        <w:rPr>
          <w:rStyle w:val="eop"/>
          <w:rFonts w:ascii="Calibri" w:hAnsi="Calibri" w:cs="Calibri"/>
          <w:sz w:val="20"/>
          <w:szCs w:val="20"/>
        </w:rPr>
        <w:t xml:space="preserve"> (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candidat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L3). </w:t>
      </w:r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</w:t>
      </w:r>
      <w:r w:rsidRPr="7967076A">
        <w:rPr>
          <w:rStyle w:val="eop"/>
          <w:rFonts w:ascii="Calibri" w:hAnsi="Calibri" w:cs="Calibri"/>
          <w:sz w:val="20"/>
          <w:szCs w:val="20"/>
        </w:rPr>
        <w:t xml:space="preserve">Son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rôle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sera de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soutenir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>, "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d'</w:t>
      </w:r>
      <w:r w:rsidRPr="7967076A" w:rsidR="00113C57">
        <w:rPr>
          <w:rStyle w:val="eop"/>
          <w:rFonts w:ascii="Calibri" w:hAnsi="Calibri" w:cs="Calibri"/>
          <w:sz w:val="20"/>
          <w:szCs w:val="20"/>
        </w:rPr>
        <w:t>imiter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", le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rôle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des co-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facilitateurs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(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candidats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de 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niveau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2) 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ou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du </w:t>
      </w:r>
      <w:proofErr w:type="spellStart"/>
      <w:r w:rsidRPr="7967076A" w:rsidR="00113C57">
        <w:rPr>
          <w:rStyle w:val="eop"/>
          <w:rFonts w:ascii="Calibri" w:hAnsi="Calibri" w:cs="Calibri"/>
          <w:sz w:val="20"/>
          <w:szCs w:val="20"/>
        </w:rPr>
        <w:t>facilitateur</w:t>
      </w:r>
      <w:proofErr w:type="spellEnd"/>
      <w:r w:rsidRPr="7967076A" w:rsidR="00113C57">
        <w:rPr>
          <w:rStyle w:val="eop"/>
          <w:rFonts w:ascii="Calibri" w:hAnsi="Calibri" w:cs="Calibri"/>
          <w:sz w:val="20"/>
          <w:szCs w:val="20"/>
        </w:rPr>
        <w:t xml:space="preserve"> principal</w:t>
      </w:r>
      <w:r w:rsidRPr="7967076A">
        <w:rPr>
          <w:rStyle w:val="eop"/>
          <w:rFonts w:ascii="Calibri" w:hAnsi="Calibri" w:cs="Calibri"/>
          <w:sz w:val="20"/>
          <w:szCs w:val="20"/>
        </w:rPr>
        <w:t xml:space="preserve"> (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candidats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de </w:t>
      </w:r>
      <w:proofErr w:type="spellStart"/>
      <w:r w:rsidRPr="7967076A">
        <w:rPr>
          <w:rStyle w:val="eop"/>
          <w:rFonts w:ascii="Calibri" w:hAnsi="Calibri" w:cs="Calibri"/>
          <w:sz w:val="20"/>
          <w:szCs w:val="20"/>
        </w:rPr>
        <w:t>niveau</w:t>
      </w:r>
      <w:proofErr w:type="spellEnd"/>
      <w:r w:rsidRPr="7967076A">
        <w:rPr>
          <w:rStyle w:val="eop"/>
          <w:rFonts w:ascii="Calibri" w:hAnsi="Calibri" w:cs="Calibri"/>
          <w:sz w:val="20"/>
          <w:szCs w:val="20"/>
        </w:rPr>
        <w:t xml:space="preserve"> 3).  </w:t>
      </w:r>
    </w:p>
    <w:p w:rsidR="00034551" w:rsidP="00034551" w:rsidRDefault="00034551" w14:paraId="6A8082DF" w14:textId="77777777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034551" w:rsidP="00034551" w:rsidRDefault="00034551" w14:paraId="5F299A6C" w14:textId="77777777">
      <w:pPr>
        <w:pStyle w:val="paragraph"/>
        <w:jc w:val="both"/>
        <w:textAlignment w:val="baseline"/>
      </w:pPr>
    </w:p>
    <w:p w:rsidRPr="0017155A" w:rsidR="00A1557B" w:rsidP="00C2584F" w:rsidRDefault="00034551" w14:paraId="5A161346" w14:textId="77777777">
      <w:pPr>
        <w:pStyle w:val="paragraph"/>
        <w:jc w:val="center"/>
        <w:textAlignment w:val="baseline"/>
        <w:rPr>
          <w:rStyle w:val="eop"/>
          <w:rFonts w:ascii="Calibri" w:hAnsi="Calibri" w:cs="Calibri"/>
          <w:sz w:val="32"/>
          <w:szCs w:val="32"/>
          <w:lang w:val="es-419"/>
        </w:rPr>
      </w:pPr>
      <w:r w:rsidRPr="0017155A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CCLE </w:t>
      </w:r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en </w:t>
      </w:r>
      <w:proofErr w:type="spellStart"/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tant</w:t>
      </w:r>
      <w:proofErr w:type="spellEnd"/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 que </w:t>
      </w:r>
      <w:proofErr w:type="spellStart"/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candidat</w:t>
      </w:r>
      <w:proofErr w:type="spellEnd"/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 du </w:t>
      </w:r>
      <w:proofErr w:type="spellStart"/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Niveau</w:t>
      </w:r>
      <w:proofErr w:type="spellEnd"/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 3 </w:t>
      </w:r>
      <w:r w:rsidRPr="0017155A" w:rsidR="00C2584F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de </w:t>
      </w:r>
      <w:proofErr w:type="spellStart"/>
      <w:r w:rsidRPr="0017155A" w:rsidR="00C2584F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l’</w:t>
      </w:r>
      <w:r w:rsidRPr="0017155A" w:rsidR="00A1557B">
        <w:rPr>
          <w:rStyle w:val="normaltextrun1"/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IPC</w:t>
      </w:r>
      <w:proofErr w:type="spellEnd"/>
    </w:p>
    <w:p w:rsidRPr="0017155A" w:rsidR="00A1557B" w:rsidP="00A1557B" w:rsidRDefault="00A1557B" w14:paraId="1BEE4FCE" w14:textId="77777777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</w:p>
    <w:p w:rsidRPr="0017155A" w:rsidR="00034551" w:rsidP="00034551" w:rsidRDefault="00A1557B" w14:paraId="2078507A" w14:textId="77777777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L'objectif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du CCLE mené par un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candida</w:t>
      </w:r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t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IPC de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niveau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3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est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d'acquérir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toutes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compétences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aptitudes requises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pour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mener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une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analy</w:t>
      </w:r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se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sous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tous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ses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aspects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, de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planification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préparation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formation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la </w:t>
      </w:r>
      <w:proofErr w:type="gram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mise</w:t>
      </w:r>
      <w:proofErr w:type="gram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en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œuvre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l'analyse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jusqu</w:t>
      </w:r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'à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diffusion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du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rapport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.</w:t>
      </w:r>
    </w:p>
    <w:p w:rsidRPr="0017155A" w:rsidR="00A1557B" w:rsidP="00A1557B" w:rsidRDefault="00B807A1" w14:paraId="42B42C77" w14:textId="77777777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r w:rsidRPr="0017155A">
        <w:rPr>
          <w:rFonts w:ascii="Calibri" w:hAnsi="Calibri" w:cs="Calibri"/>
          <w:sz w:val="20"/>
          <w:szCs w:val="20"/>
          <w:lang w:val="es-419"/>
        </w:rPr>
        <w:t xml:space="preserve">Le CCLE qui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suit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processus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certification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niveau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3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sera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responsible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de:</w:t>
      </w:r>
    </w:p>
    <w:p w:rsidRPr="0017155A" w:rsidR="00A1557B" w:rsidP="00A1557B" w:rsidRDefault="00B807A1" w14:paraId="151AAA66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(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pour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formation</w:t>
      </w:r>
      <w:proofErr w:type="spellEnd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 xml:space="preserve">: </w:t>
      </w:r>
      <w:proofErr w:type="spellStart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>aider</w:t>
      </w:r>
      <w:proofErr w:type="spellEnd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 xml:space="preserve"> principal à </w:t>
      </w:r>
      <w:proofErr w:type="spellStart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>planif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ier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à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dispenser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formation</w:t>
      </w:r>
      <w:proofErr w:type="spellEnd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 xml:space="preserve">; à </w:t>
      </w:r>
      <w:proofErr w:type="spellStart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>distribuer</w:t>
      </w:r>
      <w:proofErr w:type="spellEnd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 xml:space="preserve"> les </w:t>
      </w:r>
      <w:proofErr w:type="spellStart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>sessions</w:t>
      </w:r>
      <w:proofErr w:type="spellEnd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>formation</w:t>
      </w:r>
      <w:proofErr w:type="spellEnd"/>
      <w:r w:rsidRPr="0017155A" w:rsidR="00A1557B">
        <w:rPr>
          <w:rStyle w:val="eop"/>
          <w:rFonts w:ascii="Calibri" w:hAnsi="Calibri" w:cs="Calibri"/>
          <w:sz w:val="20"/>
          <w:szCs w:val="20"/>
          <w:lang w:val="es-419"/>
        </w:rPr>
        <w:t xml:space="preserve">, etc.)  </w:t>
      </w:r>
    </w:p>
    <w:p w:rsidRPr="0017155A" w:rsidR="00A1557B" w:rsidP="00A1557B" w:rsidRDefault="00A1557B" w14:paraId="3B07C460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Se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familiariser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avec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contexte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du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pays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où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l'expérience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du CCLE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est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menée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. </w:t>
      </w:r>
    </w:p>
    <w:p w:rsidRPr="0017155A" w:rsidR="00A1557B" w:rsidP="4C1314E0" w:rsidRDefault="00A1557B" w14:paraId="34056EFE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Co-diriger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processus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planification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préparation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l'analyse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sous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la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direction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du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facilitateur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pri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ncipal,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d'un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membre du </w:t>
      </w:r>
      <w:r w:rsidRPr="4C1314E0" w:rsidR="00B807A1">
        <w:rPr>
          <w:rStyle w:val="eop"/>
          <w:rFonts w:ascii="Calibri" w:hAnsi="Calibri" w:cs="Calibri" w:asciiTheme="minorAscii" w:hAnsiTheme="minorAscii" w:cstheme="minorAscii"/>
          <w:sz w:val="20"/>
          <w:szCs w:val="20"/>
          <w:lang w:val="en-US"/>
        </w:rPr>
        <w:t>groupe</w:t>
      </w:r>
      <w:r w:rsidRPr="4C1314E0" w:rsidR="00B807A1">
        <w:rPr>
          <w:rStyle w:val="eop"/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du </w:t>
      </w:r>
      <w:r w:rsidRPr="4C1314E0" w:rsidR="00B807A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GTT (</w:t>
      </w:r>
      <w:r w:rsidRPr="4C1314E0" w:rsidR="00B807A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Groupe</w:t>
      </w:r>
      <w:r w:rsidRPr="4C1314E0" w:rsidR="00B807A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de </w:t>
      </w:r>
      <w:r w:rsidRPr="4C1314E0" w:rsidR="00B807A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Travail</w:t>
      </w:r>
      <w:r w:rsidRPr="4C1314E0" w:rsidR="00B807A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4C1314E0" w:rsidR="00B807A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Technique</w:t>
      </w:r>
      <w:r w:rsidRPr="4C1314E0" w:rsidR="00B807A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)</w:t>
      </w:r>
      <w:r w:rsidRPr="4C1314E0" w:rsidR="00A1557B">
        <w:rPr>
          <w:rStyle w:val="eop"/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, </w:t>
      </w:r>
      <w:r w:rsidRPr="4C1314E0" w:rsidR="00A1557B">
        <w:rPr>
          <w:rStyle w:val="eop"/>
          <w:rFonts w:ascii="Calibri" w:hAnsi="Calibri" w:cs="Calibri" w:asciiTheme="minorAscii" w:hAnsiTheme="minorAscii" w:cstheme="minorAscii"/>
          <w:sz w:val="20"/>
          <w:szCs w:val="20"/>
          <w:lang w:val="en-US"/>
        </w:rPr>
        <w:t>ou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d'une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ressource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régionale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organisations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partenaires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ou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facilitateurs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prin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cipaux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de L’USG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.  </w:t>
      </w:r>
    </w:p>
    <w:p w:rsidRPr="0017155A" w:rsidR="00A1557B" w:rsidP="00A1557B" w:rsidRDefault="00A1557B" w14:paraId="4F7FD120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Soutenir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étapes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préparatoires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apprendre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à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utiliser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outils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mise en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œuvre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l'IPC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y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compris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logistique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l'administration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l'analyse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données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etc.  </w:t>
      </w:r>
    </w:p>
    <w:p w:rsidRPr="0017155A" w:rsidR="00A1557B" w:rsidP="00A1557B" w:rsidRDefault="00A1557B" w14:paraId="7586A412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Aider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principal à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codiriger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à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coordonner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co-facilitateurs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y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compris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CCLE </w:t>
      </w:r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l'IPC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en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tant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que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candidats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niveau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2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l'IPC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dans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soutien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à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préparation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analyses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à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ré-analyse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données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pré-remplissage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l'ISS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etc. </w:t>
      </w:r>
    </w:p>
    <w:p w:rsidRPr="0017155A" w:rsidR="00A1557B" w:rsidP="4C1314E0" w:rsidRDefault="00A1557B" w14:paraId="49513283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Aider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facilitateur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principal à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organiser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le plan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travail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l'équipe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, à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informer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 à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partager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informations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avec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toute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l'équipe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pour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préparer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l'analyse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guider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l'équipe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, à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évaluer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capacités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chaque membre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l'équipe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, à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renforcer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leurs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capacités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techniques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leurs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compétences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 à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donner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des avis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</w:t>
      </w:r>
      <w:r w:rsidRPr="4C1314E0" w:rsidR="00C2584F">
        <w:rPr>
          <w:rStyle w:val="eop"/>
          <w:rFonts w:ascii="Calibri" w:hAnsi="Calibri" w:cs="Calibri"/>
          <w:sz w:val="20"/>
          <w:szCs w:val="20"/>
          <w:lang w:val="en-US"/>
        </w:rPr>
        <w:t>ofessionnels</w:t>
      </w:r>
      <w:r w:rsidRPr="4C1314E0" w:rsidR="00C2584F">
        <w:rPr>
          <w:rStyle w:val="eop"/>
          <w:rFonts w:ascii="Calibri" w:hAnsi="Calibri" w:cs="Calibri"/>
          <w:sz w:val="20"/>
          <w:szCs w:val="20"/>
          <w:lang w:val="en-US"/>
        </w:rPr>
        <w:t xml:space="preserve"> sur les </w:t>
      </w:r>
      <w:r w:rsidRPr="4C1314E0" w:rsidR="00C2584F">
        <w:rPr>
          <w:rStyle w:val="eop"/>
          <w:rFonts w:ascii="Calibri" w:hAnsi="Calibri" w:cs="Calibri"/>
          <w:sz w:val="20"/>
          <w:szCs w:val="20"/>
          <w:lang w:val="en-US"/>
        </w:rPr>
        <w:t>candidats</w:t>
      </w:r>
      <w:r w:rsidRPr="4C1314E0" w:rsidR="00C2584F">
        <w:rPr>
          <w:rStyle w:val="eop"/>
          <w:rFonts w:ascii="Calibri" w:hAnsi="Calibri" w:cs="Calibri"/>
          <w:sz w:val="20"/>
          <w:szCs w:val="20"/>
          <w:lang w:val="en-US"/>
        </w:rPr>
        <w:t xml:space="preserve">  de</w:t>
      </w:r>
      <w:r w:rsidRPr="4C1314E0" w:rsidR="00C2584F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C2584F">
        <w:rPr>
          <w:rStyle w:val="eop"/>
          <w:rFonts w:ascii="Calibri" w:hAnsi="Calibri" w:cs="Calibri"/>
          <w:sz w:val="20"/>
          <w:szCs w:val="20"/>
          <w:lang w:val="en-US"/>
        </w:rPr>
        <w:t>niveau</w:t>
      </w:r>
      <w:r w:rsidRPr="4C1314E0" w:rsidR="00C2584F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3 à la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certification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.  </w:t>
      </w:r>
    </w:p>
    <w:p w:rsidRPr="0017155A" w:rsidR="00A1557B" w:rsidP="00A1557B" w:rsidRDefault="00A1557B" w14:paraId="4B0B9BB0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Aider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principal à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organiser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et à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diriger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formation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ou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l’actualisation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, sur la base de</w:t>
      </w:r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s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supports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formation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validés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pour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assurer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soutien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programme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certification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.</w:t>
      </w:r>
    </w:p>
    <w:p w:rsidRPr="0017155A" w:rsidR="00A1557B" w:rsidP="00A1557B" w:rsidRDefault="00A1557B" w14:paraId="17608F73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Assister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principal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dans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la mise en place,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gestion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finalisation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actions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à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mener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dans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SSI, y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compris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gestion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grou</w:t>
      </w:r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pes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travail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preparation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à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l’ISS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et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apprendre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facilitateurs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principaux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toutes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étapes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nécessaires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pour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conclure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conclure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l'analyse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IPC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dans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l’ISS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. </w:t>
      </w:r>
    </w:p>
    <w:p w:rsidRPr="0017155A" w:rsidR="00A1557B" w:rsidP="00A1557B" w:rsidRDefault="00A1557B" w14:paraId="6E6BE074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s-419"/>
        </w:rPr>
      </w:pPr>
      <w:r w:rsidRPr="00A1557B">
        <w:rPr>
          <w:rStyle w:val="eop"/>
          <w:rFonts w:ascii="Calibri" w:hAnsi="Calibri" w:cs="Calibri"/>
          <w:sz w:val="20"/>
          <w:szCs w:val="20"/>
        </w:rPr>
        <w:lastRenderedPageBreak/>
        <w:t xml:space="preserve">Aider le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facilitateur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principal à assurer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l'achèvement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de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toutes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les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fonctions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IPC, y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compris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la communication et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l'assurance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qualité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. 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En ce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sens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il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/elle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est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co-responsable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cohérence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chiffres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cartes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et des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mess</w:t>
      </w:r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ages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clés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dans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rapport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et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l'adhésion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aux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protocoles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relatifs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à la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communication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.</w:t>
      </w:r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Le CCLE, en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tant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que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candidat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niveau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3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aidera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principal à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s'assurer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que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l'outil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d'auto-évaluation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est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rempli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par le </w:t>
      </w:r>
      <w:r w:rsidRPr="0017155A" w:rsidR="00C2584F">
        <w:rPr>
          <w:rFonts w:asciiTheme="minorHAnsi" w:hAnsiTheme="minorHAnsi" w:cstheme="minorHAnsi"/>
          <w:sz w:val="20"/>
          <w:szCs w:val="20"/>
          <w:lang w:val="es-419"/>
        </w:rPr>
        <w:t xml:space="preserve">GTT </w:t>
      </w:r>
      <w:proofErr w:type="spellStart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>sous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la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direction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du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président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 w:rsidR="00C2584F">
        <w:rPr>
          <w:rStyle w:val="eop"/>
          <w:rFonts w:ascii="Calibri" w:hAnsi="Calibri" w:cs="Calibri"/>
          <w:sz w:val="20"/>
          <w:szCs w:val="20"/>
          <w:lang w:val="es-419"/>
        </w:rPr>
        <w:t xml:space="preserve">, </w:t>
      </w:r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et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qu'il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est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partagé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avec</w:t>
      </w:r>
      <w:proofErr w:type="spellEnd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 w:rsidR="00B807A1">
        <w:rPr>
          <w:rStyle w:val="eop"/>
          <w:rFonts w:ascii="Calibri" w:hAnsi="Calibri" w:cs="Calibri"/>
          <w:sz w:val="20"/>
          <w:szCs w:val="20"/>
          <w:lang w:val="es-419"/>
        </w:rPr>
        <w:t>l’USG</w:t>
      </w:r>
      <w:proofErr w:type="spellEnd"/>
      <w:r w:rsidRPr="0017155A">
        <w:rPr>
          <w:rStyle w:val="eop"/>
          <w:rFonts w:ascii="Calibri" w:hAnsi="Calibri" w:cs="Calibri"/>
          <w:sz w:val="20"/>
          <w:szCs w:val="20"/>
          <w:lang w:val="es-419"/>
        </w:rPr>
        <w:t xml:space="preserve">. </w:t>
      </w:r>
    </w:p>
    <w:p w:rsidRPr="0017155A" w:rsidR="00A1557B" w:rsidP="4C1314E0" w:rsidRDefault="00A1557B" w14:paraId="3B8EAC64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Aider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facilitateur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principal à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s'assurer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que la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neutralité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est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appliquée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tout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au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long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du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processus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d'analyse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rapport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, et que les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classi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fications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et les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produits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l’IPC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ne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sont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pas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biaisés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par des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interférences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politiques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et/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ou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programmes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particuliers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des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institution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s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participant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aux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analyses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l’IPC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.  </w:t>
      </w:r>
    </w:p>
    <w:p w:rsidRPr="0017155A" w:rsidR="00A1557B" w:rsidP="4C1314E0" w:rsidRDefault="00A1557B" w14:paraId="6B7841AE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Aider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le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facilitateur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princi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pal à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assurer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la liaison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avec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l’USG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au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niveau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mondial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en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cas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problème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technique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et de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qualité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survenant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pendant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>l'analyse</w:t>
      </w:r>
      <w:r w:rsidRPr="4C1314E0" w:rsidR="00A1557B">
        <w:rPr>
          <w:rStyle w:val="eop"/>
          <w:rFonts w:ascii="Calibri" w:hAnsi="Calibri" w:cs="Calibri"/>
          <w:sz w:val="20"/>
          <w:szCs w:val="20"/>
          <w:lang w:val="en-US"/>
        </w:rPr>
        <w:t xml:space="preserve">.  </w:t>
      </w:r>
    </w:p>
    <w:p w:rsidR="00A1557B" w:rsidP="00A1557B" w:rsidRDefault="00A1557B" w14:paraId="7F7CA9BE" w14:textId="77777777">
      <w:pPr>
        <w:pStyle w:val="paragraph"/>
        <w:numPr>
          <w:ilvl w:val="0"/>
          <w:numId w:val="5"/>
        </w:numPr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A1557B">
        <w:rPr>
          <w:rStyle w:val="eop"/>
          <w:rFonts w:ascii="Calibri" w:hAnsi="Calibri" w:cs="Calibri"/>
          <w:sz w:val="20"/>
          <w:szCs w:val="20"/>
        </w:rPr>
        <w:t xml:space="preserve">Assister le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facilitateur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principal dans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toutes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les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tâches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</w:t>
      </w:r>
      <w:proofErr w:type="spellStart"/>
      <w:r w:rsidRPr="00A1557B">
        <w:rPr>
          <w:rStyle w:val="eop"/>
          <w:rFonts w:ascii="Calibri" w:hAnsi="Calibri" w:cs="Calibri"/>
          <w:sz w:val="20"/>
          <w:szCs w:val="20"/>
        </w:rPr>
        <w:t>liées</w:t>
      </w:r>
      <w:proofErr w:type="spellEnd"/>
      <w:r w:rsidRPr="00A1557B">
        <w:rPr>
          <w:rStyle w:val="eop"/>
          <w:rFonts w:ascii="Calibri" w:hAnsi="Calibri" w:cs="Calibri"/>
          <w:sz w:val="20"/>
          <w:szCs w:val="20"/>
        </w:rPr>
        <w:t xml:space="preserve"> à la communication.  </w:t>
      </w:r>
    </w:p>
    <w:p w:rsidR="00A1557B" w:rsidP="00A1557B" w:rsidRDefault="00A1557B" w14:paraId="6C88CFD6" w14:textId="77777777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A1557B" w:rsidP="00A1557B" w:rsidRDefault="00A1557B" w14:paraId="579A41A6" w14:textId="77777777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Pr="00A1557B" w:rsidR="00A1557B" w:rsidP="00A1557B" w:rsidRDefault="00A1557B" w14:paraId="53D54F5A" w14:textId="77777777">
      <w:pPr>
        <w:pStyle w:val="paragraph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</w:p>
    <w:p w:rsidR="00034551" w:rsidP="00034551" w:rsidRDefault="00034551" w14:paraId="39520590" w14:textId="77777777">
      <w:pPr>
        <w:pStyle w:val="paragraph"/>
        <w:jc w:val="both"/>
        <w:textAlignment w:val="baseline"/>
        <w:rPr>
          <w:rFonts w:ascii="Calibri" w:hAnsi="Calibri" w:cs="Calibri"/>
          <w:sz w:val="20"/>
          <w:szCs w:val="20"/>
        </w:rPr>
      </w:pPr>
    </w:p>
    <w:p w:rsidRPr="0017155A" w:rsidR="00961BF5" w:rsidP="00034551" w:rsidRDefault="00961BF5" w14:paraId="1AAC454C" w14:textId="77777777">
      <w:pPr>
        <w:pStyle w:val="paragraph"/>
        <w:jc w:val="center"/>
        <w:textAlignment w:val="baseline"/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</w:pPr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CCLE en </w:t>
      </w:r>
      <w:proofErr w:type="spellStart"/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tant</w:t>
      </w:r>
      <w:proofErr w:type="spellEnd"/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 que </w:t>
      </w:r>
      <w:proofErr w:type="spellStart"/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candidat</w:t>
      </w:r>
      <w:proofErr w:type="spellEnd"/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 du </w:t>
      </w:r>
      <w:proofErr w:type="spellStart"/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Niveau</w:t>
      </w:r>
      <w:proofErr w:type="spellEnd"/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 2 d</w:t>
      </w:r>
      <w:r w:rsidRPr="0017155A" w:rsidR="00C2584F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 xml:space="preserve">e </w:t>
      </w:r>
      <w:proofErr w:type="spellStart"/>
      <w:r w:rsidRPr="0017155A" w:rsidR="00C2584F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l’</w:t>
      </w:r>
      <w:r w:rsidRPr="0017155A">
        <w:rPr>
          <w:rFonts w:ascii="Calibri" w:hAnsi="Calibri" w:cs="Calibri"/>
          <w:b/>
          <w:bCs/>
          <w:color w:val="1F4E79"/>
          <w:sz w:val="32"/>
          <w:szCs w:val="32"/>
          <w:u w:val="single"/>
          <w:lang w:val="es-419"/>
        </w:rPr>
        <w:t>IPC</w:t>
      </w:r>
      <w:proofErr w:type="spellEnd"/>
    </w:p>
    <w:p w:rsidRPr="0017155A" w:rsidR="00A1557B" w:rsidP="00C2584F" w:rsidRDefault="00034551" w14:paraId="5DEB423C" w14:textId="77777777">
      <w:pPr>
        <w:pStyle w:val="paragraph"/>
        <w:jc w:val="center"/>
        <w:textAlignment w:val="baseline"/>
        <w:rPr>
          <w:rStyle w:val="eop"/>
          <w:lang w:val="es-419"/>
        </w:rPr>
      </w:pPr>
      <w:r w:rsidRPr="0017155A">
        <w:rPr>
          <w:rStyle w:val="eop"/>
          <w:rFonts w:ascii="Calibri" w:hAnsi="Calibri" w:cs="Calibri"/>
          <w:sz w:val="32"/>
          <w:szCs w:val="32"/>
          <w:lang w:val="es-419"/>
        </w:rPr>
        <w:t> </w:t>
      </w:r>
    </w:p>
    <w:p w:rsidRPr="0017155A" w:rsidR="00A1557B" w:rsidP="4C1314E0" w:rsidRDefault="00B807A1" w14:paraId="2558D888" w14:textId="77777777">
      <w:pPr>
        <w:pStyle w:val="paragraph"/>
        <w:jc w:val="both"/>
        <w:textAlignment w:val="baseline"/>
        <w:rPr>
          <w:rFonts w:ascii="Calibri" w:hAnsi="Calibri" w:cs="Calibri"/>
          <w:sz w:val="20"/>
          <w:szCs w:val="20"/>
          <w:lang w:val="en-US"/>
        </w:rPr>
      </w:pP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L'objectif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du CCLE mené par un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candidat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IPC de 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>niveau</w:t>
      </w:r>
      <w:r w:rsidRPr="4C1314E0" w:rsidR="00B807A1">
        <w:rPr>
          <w:rStyle w:val="eop"/>
          <w:rFonts w:ascii="Calibri" w:hAnsi="Calibri" w:cs="Calibri"/>
          <w:sz w:val="20"/>
          <w:szCs w:val="20"/>
          <w:lang w:val="en-US"/>
        </w:rPr>
        <w:t xml:space="preserve"> 2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de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l’IPC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est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d'acquérir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toutes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les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compétences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et aptitudes requises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pou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r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co-faciliter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 une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analyse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l’IPC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, en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fournissant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sur demande un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soutien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sur les principales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étapes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de la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planification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, de la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préparation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, de la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formation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et de la mise en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œuvre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l'analyse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>jusqu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'à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 la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diffusion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 du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rapport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 xml:space="preserve"> de </w:t>
      </w:r>
      <w:r w:rsidRPr="4C1314E0" w:rsidR="00B807A1">
        <w:rPr>
          <w:rFonts w:ascii="Calibri" w:hAnsi="Calibri" w:cs="Calibri"/>
          <w:sz w:val="20"/>
          <w:szCs w:val="20"/>
          <w:lang w:val="en-US"/>
        </w:rPr>
        <w:t>l’IPC</w:t>
      </w:r>
      <w:r w:rsidRPr="4C1314E0" w:rsidR="00A1557B">
        <w:rPr>
          <w:rFonts w:ascii="Calibri" w:hAnsi="Calibri" w:cs="Calibri"/>
          <w:sz w:val="20"/>
          <w:szCs w:val="20"/>
          <w:lang w:val="en-US"/>
        </w:rPr>
        <w:t xml:space="preserve">.  </w:t>
      </w:r>
    </w:p>
    <w:p w:rsidRPr="0017155A" w:rsidR="00A1557B" w:rsidP="00A1557B" w:rsidRDefault="00B807A1" w14:paraId="5C779FFD" w14:textId="77777777">
      <w:pPr>
        <w:pStyle w:val="paragraph"/>
        <w:jc w:val="both"/>
        <w:textAlignment w:val="baseline"/>
        <w:rPr>
          <w:rFonts w:ascii="Calibri" w:hAnsi="Calibri" w:cs="Calibri"/>
          <w:sz w:val="20"/>
          <w:szCs w:val="20"/>
          <w:lang w:val="es-419"/>
        </w:rPr>
      </w:pPr>
      <w:r w:rsidRPr="0017155A">
        <w:rPr>
          <w:rFonts w:ascii="Calibri" w:hAnsi="Calibri" w:cs="Calibri"/>
          <w:sz w:val="20"/>
          <w:szCs w:val="20"/>
          <w:lang w:val="es-419"/>
        </w:rPr>
        <w:t xml:space="preserve">Le CCLE qui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suit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processus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certification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niveau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2 à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sera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responsable </w:t>
      </w:r>
      <w:proofErr w:type="gramStart"/>
      <w:r w:rsidRPr="0017155A">
        <w:rPr>
          <w:rFonts w:ascii="Calibri" w:hAnsi="Calibri" w:cs="Calibri"/>
          <w:sz w:val="20"/>
          <w:szCs w:val="20"/>
          <w:lang w:val="es-419"/>
        </w:rPr>
        <w:t>de :</w:t>
      </w:r>
      <w:proofErr w:type="gramEnd"/>
    </w:p>
    <w:p w:rsidR="00961BF5" w:rsidP="00A1557B" w:rsidRDefault="00A1557B" w14:paraId="74418ACB" w14:textId="77777777">
      <w:pPr>
        <w:pStyle w:val="paragraph"/>
        <w:numPr>
          <w:ilvl w:val="0"/>
          <w:numId w:val="6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A1557B">
        <w:rPr>
          <w:rFonts w:ascii="Calibri" w:hAnsi="Calibri" w:cs="Calibri"/>
          <w:sz w:val="20"/>
          <w:szCs w:val="20"/>
        </w:rPr>
        <w:t xml:space="preserve">(pour la </w:t>
      </w:r>
      <w:proofErr w:type="gramStart"/>
      <w:r w:rsidRPr="00A1557B">
        <w:rPr>
          <w:rFonts w:ascii="Calibri" w:hAnsi="Calibri" w:cs="Calibri"/>
          <w:sz w:val="20"/>
          <w:szCs w:val="20"/>
        </w:rPr>
        <w:t>formation :</w:t>
      </w:r>
      <w:proofErr w:type="gramEnd"/>
      <w:r w:rsidRPr="00A1557B">
        <w:rPr>
          <w:rFonts w:ascii="Calibri" w:hAnsi="Calibri" w:cs="Calibri"/>
          <w:sz w:val="20"/>
          <w:szCs w:val="20"/>
        </w:rPr>
        <w:t xml:space="preserve"> aider </w:t>
      </w:r>
      <w:r w:rsidR="00C2584F">
        <w:rPr>
          <w:rFonts w:ascii="Calibri" w:hAnsi="Calibri" w:cs="Calibri"/>
          <w:sz w:val="20"/>
          <w:szCs w:val="20"/>
        </w:rPr>
        <w:t xml:space="preserve">le </w:t>
      </w:r>
      <w:proofErr w:type="spellStart"/>
      <w:r w:rsidR="00C2584F">
        <w:rPr>
          <w:rFonts w:ascii="Calibri" w:hAnsi="Calibri" w:cs="Calibri"/>
          <w:sz w:val="20"/>
          <w:szCs w:val="20"/>
        </w:rPr>
        <w:t>facilitateur</w:t>
      </w:r>
      <w:proofErr w:type="spellEnd"/>
      <w:r w:rsidRPr="00A1557B">
        <w:rPr>
          <w:rFonts w:ascii="Calibri" w:hAnsi="Calibri" w:cs="Calibri"/>
          <w:sz w:val="20"/>
          <w:szCs w:val="20"/>
        </w:rPr>
        <w:t xml:space="preserve"> principal à </w:t>
      </w:r>
      <w:proofErr w:type="spellStart"/>
      <w:r w:rsidRPr="00A1557B">
        <w:rPr>
          <w:rFonts w:ascii="Calibri" w:hAnsi="Calibri" w:cs="Calibri"/>
          <w:sz w:val="20"/>
          <w:szCs w:val="20"/>
        </w:rPr>
        <w:t>planifier</w:t>
      </w:r>
      <w:proofErr w:type="spellEnd"/>
      <w:r w:rsidRPr="00A1557B">
        <w:rPr>
          <w:rFonts w:ascii="Calibri" w:hAnsi="Calibri" w:cs="Calibri"/>
          <w:sz w:val="20"/>
          <w:szCs w:val="20"/>
        </w:rPr>
        <w:t xml:space="preserve"> et à dispenser la formation)  </w:t>
      </w:r>
    </w:p>
    <w:p w:rsidRPr="0017155A" w:rsidR="00961BF5" w:rsidP="00A1557B" w:rsidRDefault="00A1557B" w14:paraId="11767E71" w14:textId="77777777">
      <w:pPr>
        <w:pStyle w:val="paragraph"/>
        <w:numPr>
          <w:ilvl w:val="0"/>
          <w:numId w:val="6"/>
        </w:numPr>
        <w:jc w:val="both"/>
        <w:textAlignment w:val="baseline"/>
        <w:rPr>
          <w:rFonts w:ascii="Calibri" w:hAnsi="Calibri" w:cs="Calibri"/>
          <w:sz w:val="20"/>
          <w:szCs w:val="20"/>
          <w:lang w:val="es-419"/>
        </w:rPr>
      </w:pPr>
      <w:r w:rsidRPr="0017155A">
        <w:rPr>
          <w:rFonts w:ascii="Calibri" w:hAnsi="Calibri" w:cs="Calibri"/>
          <w:sz w:val="20"/>
          <w:szCs w:val="20"/>
          <w:lang w:val="es-419"/>
        </w:rPr>
        <w:t xml:space="preserve"> Se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familiariser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avec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contexte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du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pays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où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se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déroule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l'expérience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du CCLE. </w:t>
      </w:r>
    </w:p>
    <w:p w:rsidRPr="0017155A" w:rsidR="00961BF5" w:rsidP="00A1557B" w:rsidRDefault="00A1557B" w14:paraId="09DD6FB9" w14:textId="77777777">
      <w:pPr>
        <w:pStyle w:val="paragraph"/>
        <w:numPr>
          <w:ilvl w:val="0"/>
          <w:numId w:val="6"/>
        </w:numPr>
        <w:jc w:val="both"/>
        <w:textAlignment w:val="baseline"/>
        <w:rPr>
          <w:rFonts w:ascii="Calibri" w:hAnsi="Calibri" w:cs="Calibri"/>
          <w:sz w:val="20"/>
          <w:szCs w:val="20"/>
          <w:lang w:val="es-419"/>
        </w:rPr>
      </w:pPr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Soutenir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préparation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l'analyse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IPC, (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étape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1, 2, 3)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avant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l'atelier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IPC,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aider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principal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dans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phase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planification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et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préparation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et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participer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aux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réunions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organisées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à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cette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fin.  </w:t>
      </w:r>
    </w:p>
    <w:p w:rsidRPr="0017155A" w:rsidR="00961BF5" w:rsidP="00A1557B" w:rsidRDefault="00A1557B" w14:paraId="0F13C84E" w14:textId="77777777">
      <w:pPr>
        <w:pStyle w:val="paragraph"/>
        <w:numPr>
          <w:ilvl w:val="0"/>
          <w:numId w:val="6"/>
        </w:numPr>
        <w:jc w:val="both"/>
        <w:textAlignment w:val="baseline"/>
        <w:rPr>
          <w:rFonts w:ascii="Calibri" w:hAnsi="Calibri" w:cs="Calibri"/>
          <w:sz w:val="20"/>
          <w:szCs w:val="20"/>
          <w:lang w:val="es-419"/>
        </w:rPr>
      </w:pP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Agir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en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tant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que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sous-groupes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(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groupes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domaines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d'analyse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),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orienter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l'analyste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dans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petit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groupe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en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uti</w:t>
      </w:r>
      <w:r w:rsidRPr="0017155A" w:rsidR="00C2584F">
        <w:rPr>
          <w:rFonts w:ascii="Calibri" w:hAnsi="Calibri" w:cs="Calibri"/>
          <w:sz w:val="20"/>
          <w:szCs w:val="20"/>
          <w:lang w:val="es-419"/>
        </w:rPr>
        <w:t>lisant</w:t>
      </w:r>
      <w:proofErr w:type="spellEnd"/>
      <w:r w:rsidRPr="0017155A" w:rsidR="00C2584F">
        <w:rPr>
          <w:rFonts w:ascii="Calibri" w:hAnsi="Calibri" w:cs="Calibri"/>
          <w:sz w:val="20"/>
          <w:szCs w:val="20"/>
          <w:lang w:val="es-419"/>
        </w:rPr>
        <w:t xml:space="preserve"> le cadre </w:t>
      </w:r>
      <w:proofErr w:type="spellStart"/>
      <w:r w:rsidRPr="0017155A" w:rsidR="00C2584F">
        <w:rPr>
          <w:rFonts w:ascii="Calibri" w:hAnsi="Calibri" w:cs="Calibri"/>
          <w:sz w:val="20"/>
          <w:szCs w:val="20"/>
          <w:lang w:val="es-419"/>
        </w:rPr>
        <w:t>analytique</w:t>
      </w:r>
      <w:proofErr w:type="spellEnd"/>
      <w:r w:rsidRPr="0017155A" w:rsidR="00C2584F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 w:rsidR="00C2584F">
        <w:rPr>
          <w:rFonts w:ascii="Calibri" w:hAnsi="Calibri" w:cs="Calibri"/>
          <w:sz w:val="20"/>
          <w:szCs w:val="20"/>
          <w:lang w:val="es-419"/>
        </w:rPr>
        <w:t>l’IPC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veiller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respect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des protocoles et des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paramètres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d'analyse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,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soumettre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au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facilitateur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principal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toute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question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affectant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la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qualité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 de </w:t>
      </w:r>
      <w:proofErr w:type="spellStart"/>
      <w:r w:rsidRPr="0017155A">
        <w:rPr>
          <w:rFonts w:ascii="Calibri" w:hAnsi="Calibri" w:cs="Calibri"/>
          <w:sz w:val="20"/>
          <w:szCs w:val="20"/>
          <w:lang w:val="es-419"/>
        </w:rPr>
        <w:t>l'analyse</w:t>
      </w:r>
      <w:proofErr w:type="spellEnd"/>
      <w:r w:rsidRPr="0017155A">
        <w:rPr>
          <w:rFonts w:ascii="Calibri" w:hAnsi="Calibri" w:cs="Calibri"/>
          <w:sz w:val="20"/>
          <w:szCs w:val="20"/>
          <w:lang w:val="es-419"/>
        </w:rPr>
        <w:t xml:space="preserve">. </w:t>
      </w:r>
    </w:p>
    <w:p w:rsidRPr="00961BF5" w:rsidR="00A1557B" w:rsidP="00A1557B" w:rsidRDefault="00A1557B" w14:paraId="04F7FF61" w14:textId="77777777">
      <w:pPr>
        <w:pStyle w:val="paragraph"/>
        <w:numPr>
          <w:ilvl w:val="0"/>
          <w:numId w:val="6"/>
        </w:numPr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961BF5">
        <w:rPr>
          <w:rFonts w:ascii="Calibri" w:hAnsi="Calibri" w:cs="Calibri"/>
          <w:sz w:val="20"/>
          <w:szCs w:val="20"/>
        </w:rPr>
        <w:t>Les co-</w:t>
      </w:r>
      <w:proofErr w:type="spellStart"/>
      <w:r w:rsidRPr="00961BF5">
        <w:rPr>
          <w:rFonts w:ascii="Calibri" w:hAnsi="Calibri" w:cs="Calibri"/>
          <w:sz w:val="20"/>
          <w:szCs w:val="20"/>
        </w:rPr>
        <w:t>facilitateurs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1BF5">
        <w:rPr>
          <w:rFonts w:ascii="Calibri" w:hAnsi="Calibri" w:cs="Calibri"/>
          <w:sz w:val="20"/>
          <w:szCs w:val="20"/>
        </w:rPr>
        <w:t>rendent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1BF5">
        <w:rPr>
          <w:rFonts w:ascii="Calibri" w:hAnsi="Calibri" w:cs="Calibri"/>
          <w:sz w:val="20"/>
          <w:szCs w:val="20"/>
        </w:rPr>
        <w:t>compte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au </w:t>
      </w:r>
      <w:proofErr w:type="spellStart"/>
      <w:r w:rsidR="00C2584F">
        <w:rPr>
          <w:rFonts w:ascii="Calibri" w:hAnsi="Calibri" w:cs="Calibri"/>
          <w:sz w:val="20"/>
          <w:szCs w:val="20"/>
        </w:rPr>
        <w:t>facilitateur</w:t>
      </w:r>
      <w:proofErr w:type="spellEnd"/>
      <w:r w:rsidR="00C2584F">
        <w:rPr>
          <w:rFonts w:ascii="Calibri" w:hAnsi="Calibri" w:cs="Calibri"/>
          <w:sz w:val="20"/>
          <w:szCs w:val="20"/>
        </w:rPr>
        <w:t xml:space="preserve"> principal</w:t>
      </w:r>
      <w:r w:rsidRPr="00961BF5">
        <w:rPr>
          <w:rFonts w:ascii="Calibri" w:hAnsi="Calibri" w:cs="Calibri"/>
          <w:sz w:val="20"/>
          <w:szCs w:val="20"/>
        </w:rPr>
        <w:t xml:space="preserve"> et au co-</w:t>
      </w:r>
      <w:proofErr w:type="spellStart"/>
      <w:r w:rsidR="00C2584F">
        <w:rPr>
          <w:rFonts w:ascii="Calibri" w:hAnsi="Calibri" w:cs="Calibri"/>
          <w:sz w:val="20"/>
          <w:szCs w:val="20"/>
        </w:rPr>
        <w:t>facilitateur</w:t>
      </w:r>
      <w:proofErr w:type="spellEnd"/>
      <w:r w:rsidR="00C2584F">
        <w:rPr>
          <w:rFonts w:ascii="Calibri" w:hAnsi="Calibri" w:cs="Calibri"/>
          <w:sz w:val="20"/>
          <w:szCs w:val="20"/>
        </w:rPr>
        <w:t xml:space="preserve"> principal</w:t>
      </w:r>
      <w:r w:rsidRPr="00961BF5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961BF5">
        <w:rPr>
          <w:rFonts w:ascii="Calibri" w:hAnsi="Calibri" w:cs="Calibri"/>
          <w:sz w:val="20"/>
          <w:szCs w:val="20"/>
        </w:rPr>
        <w:t>l'analyse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61BF5">
        <w:rPr>
          <w:rFonts w:ascii="Calibri" w:hAnsi="Calibri" w:cs="Calibri"/>
          <w:sz w:val="20"/>
          <w:szCs w:val="20"/>
        </w:rPr>
        <w:t>Ils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1BF5">
        <w:rPr>
          <w:rFonts w:ascii="Calibri" w:hAnsi="Calibri" w:cs="Calibri"/>
          <w:sz w:val="20"/>
          <w:szCs w:val="20"/>
        </w:rPr>
        <w:t>participent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à </w:t>
      </w:r>
      <w:proofErr w:type="spellStart"/>
      <w:r w:rsidRPr="00961BF5">
        <w:rPr>
          <w:rFonts w:ascii="Calibri" w:hAnsi="Calibri" w:cs="Calibri"/>
          <w:sz w:val="20"/>
          <w:szCs w:val="20"/>
        </w:rPr>
        <w:t>toutes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les </w:t>
      </w:r>
      <w:proofErr w:type="spellStart"/>
      <w:r w:rsidRPr="00961BF5">
        <w:rPr>
          <w:rFonts w:ascii="Calibri" w:hAnsi="Calibri" w:cs="Calibri"/>
          <w:sz w:val="20"/>
          <w:szCs w:val="20"/>
        </w:rPr>
        <w:t>réunions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de coordination </w:t>
      </w:r>
      <w:proofErr w:type="spellStart"/>
      <w:r w:rsidRPr="00961BF5">
        <w:rPr>
          <w:rFonts w:ascii="Calibri" w:hAnsi="Calibri" w:cs="Calibri"/>
          <w:sz w:val="20"/>
          <w:szCs w:val="20"/>
        </w:rPr>
        <w:t>avant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, pendant et après </w:t>
      </w:r>
      <w:proofErr w:type="spellStart"/>
      <w:r w:rsidRPr="00961BF5">
        <w:rPr>
          <w:rFonts w:ascii="Calibri" w:hAnsi="Calibri" w:cs="Calibri"/>
          <w:sz w:val="20"/>
          <w:szCs w:val="20"/>
        </w:rPr>
        <w:t>l'analyse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pour faire le point sur le processus et la </w:t>
      </w:r>
      <w:proofErr w:type="spellStart"/>
      <w:r w:rsidRPr="00961BF5">
        <w:rPr>
          <w:rFonts w:ascii="Calibri" w:hAnsi="Calibri" w:cs="Calibri"/>
          <w:sz w:val="20"/>
          <w:szCs w:val="20"/>
        </w:rPr>
        <w:t>qualité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961BF5">
        <w:rPr>
          <w:rFonts w:ascii="Calibri" w:hAnsi="Calibri" w:cs="Calibri"/>
          <w:sz w:val="20"/>
          <w:szCs w:val="20"/>
        </w:rPr>
        <w:t>l'analyse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61BF5">
        <w:rPr>
          <w:rFonts w:ascii="Calibri" w:hAnsi="Calibri" w:cs="Calibri"/>
          <w:sz w:val="20"/>
          <w:szCs w:val="20"/>
        </w:rPr>
        <w:t>Ils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1BF5">
        <w:rPr>
          <w:rFonts w:ascii="Calibri" w:hAnsi="Calibri" w:cs="Calibri"/>
          <w:sz w:val="20"/>
          <w:szCs w:val="20"/>
        </w:rPr>
        <w:t>partagent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les </w:t>
      </w:r>
      <w:proofErr w:type="spellStart"/>
      <w:r w:rsidRPr="00961BF5">
        <w:rPr>
          <w:rFonts w:ascii="Calibri" w:hAnsi="Calibri" w:cs="Calibri"/>
          <w:sz w:val="20"/>
          <w:szCs w:val="20"/>
        </w:rPr>
        <w:t>difficultés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et les </w:t>
      </w:r>
      <w:proofErr w:type="spellStart"/>
      <w:r w:rsidRPr="00961BF5">
        <w:rPr>
          <w:rFonts w:ascii="Calibri" w:hAnsi="Calibri" w:cs="Calibri"/>
          <w:sz w:val="20"/>
          <w:szCs w:val="20"/>
        </w:rPr>
        <w:t>préoccupations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961BF5">
        <w:rPr>
          <w:rFonts w:ascii="Calibri" w:hAnsi="Calibri" w:cs="Calibri"/>
          <w:sz w:val="20"/>
          <w:szCs w:val="20"/>
        </w:rPr>
        <w:t>Ils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1BF5">
        <w:rPr>
          <w:rFonts w:ascii="Calibri" w:hAnsi="Calibri" w:cs="Calibri"/>
          <w:sz w:val="20"/>
          <w:szCs w:val="20"/>
        </w:rPr>
        <w:t>répondent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aux </w:t>
      </w:r>
      <w:proofErr w:type="spellStart"/>
      <w:r w:rsidRPr="00961BF5">
        <w:rPr>
          <w:rFonts w:ascii="Calibri" w:hAnsi="Calibri" w:cs="Calibri"/>
          <w:sz w:val="20"/>
          <w:szCs w:val="20"/>
        </w:rPr>
        <w:t>objectifs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1BF5">
        <w:rPr>
          <w:rFonts w:ascii="Calibri" w:hAnsi="Calibri" w:cs="Calibri"/>
          <w:sz w:val="20"/>
          <w:szCs w:val="20"/>
        </w:rPr>
        <w:t>fixés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avec le </w:t>
      </w:r>
      <w:proofErr w:type="spellStart"/>
      <w:r w:rsidRPr="00961BF5">
        <w:rPr>
          <w:rFonts w:ascii="Calibri" w:hAnsi="Calibri" w:cs="Calibri"/>
          <w:sz w:val="20"/>
          <w:szCs w:val="20"/>
        </w:rPr>
        <w:t>facilitateur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principal et le co-</w:t>
      </w:r>
      <w:proofErr w:type="spellStart"/>
      <w:r w:rsidRPr="00961BF5">
        <w:rPr>
          <w:rFonts w:ascii="Calibri" w:hAnsi="Calibri" w:cs="Calibri"/>
          <w:sz w:val="20"/>
          <w:szCs w:val="20"/>
        </w:rPr>
        <w:t>facilitateur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principal </w:t>
      </w:r>
      <w:proofErr w:type="spellStart"/>
      <w:r w:rsidRPr="00961BF5">
        <w:rPr>
          <w:rFonts w:ascii="Calibri" w:hAnsi="Calibri" w:cs="Calibri"/>
          <w:sz w:val="20"/>
          <w:szCs w:val="20"/>
        </w:rPr>
        <w:t>en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1BF5">
        <w:rPr>
          <w:rFonts w:ascii="Calibri" w:hAnsi="Calibri" w:cs="Calibri"/>
          <w:sz w:val="20"/>
          <w:szCs w:val="20"/>
        </w:rPr>
        <w:t>termes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961BF5">
        <w:rPr>
          <w:rFonts w:ascii="Calibri" w:hAnsi="Calibri" w:cs="Calibri"/>
          <w:sz w:val="20"/>
          <w:szCs w:val="20"/>
        </w:rPr>
        <w:t>renforcement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des </w:t>
      </w:r>
      <w:proofErr w:type="spellStart"/>
      <w:r w:rsidRPr="00961BF5">
        <w:rPr>
          <w:rFonts w:ascii="Calibri" w:hAnsi="Calibri" w:cs="Calibri"/>
          <w:sz w:val="20"/>
          <w:szCs w:val="20"/>
        </w:rPr>
        <w:t>capacités</w:t>
      </w:r>
      <w:proofErr w:type="spellEnd"/>
      <w:r w:rsidRPr="00961BF5">
        <w:rPr>
          <w:rFonts w:ascii="Calibri" w:hAnsi="Calibri" w:cs="Calibri"/>
          <w:sz w:val="20"/>
          <w:szCs w:val="20"/>
        </w:rPr>
        <w:t xml:space="preserve"> dans le processus de certification.  </w:t>
      </w:r>
    </w:p>
    <w:p w:rsidR="00034551" w:rsidP="00034551" w:rsidRDefault="00034551" w14:paraId="390CD1B4" w14:textId="77777777">
      <w:pPr>
        <w:pStyle w:val="paragraph"/>
        <w:jc w:val="both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06612E" w:rsidP="0006612E" w:rsidRDefault="0006612E" w14:paraId="3BD5B956" w14:textId="77777777"/>
    <w:p w:rsidR="0006612E" w:rsidP="0006612E" w:rsidRDefault="0006612E" w14:paraId="1133F502" w14:textId="77777777"/>
    <w:p w:rsidR="0006612E" w:rsidP="0006612E" w:rsidRDefault="0006612E" w14:paraId="114AFC43" w14:textId="77777777"/>
    <w:p w:rsidR="00B22B6F" w:rsidP="0006612E" w:rsidRDefault="00B22B6F" w14:paraId="04BC421A" w14:textId="77777777"/>
    <w:sectPr w:rsidR="00B22B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58F"/>
    <w:multiLevelType w:val="multilevel"/>
    <w:tmpl w:val="F47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E4F381A"/>
    <w:multiLevelType w:val="multilevel"/>
    <w:tmpl w:val="EC6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AEA56E8"/>
    <w:multiLevelType w:val="hybridMultilevel"/>
    <w:tmpl w:val="9CECA71C"/>
    <w:lvl w:ilvl="0" w:tplc="04090001">
      <w:start w:val="1"/>
      <w:numFmt w:val="bullet"/>
      <w:lvlText w:val=""/>
      <w:lvlJc w:val="left"/>
      <w:pPr>
        <w:ind w:left="76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3" w15:restartNumberingAfterBreak="0">
    <w:nsid w:val="3D8969AE"/>
    <w:multiLevelType w:val="multilevel"/>
    <w:tmpl w:val="0558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E93259C"/>
    <w:multiLevelType w:val="multilevel"/>
    <w:tmpl w:val="39D2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E213ED8"/>
    <w:multiLevelType w:val="hybridMultilevel"/>
    <w:tmpl w:val="26A85FCC"/>
    <w:lvl w:ilvl="0" w:tplc="04090001">
      <w:start w:val="1"/>
      <w:numFmt w:val="bullet"/>
      <w:lvlText w:val=""/>
      <w:lvlJc w:val="left"/>
      <w:pPr>
        <w:ind w:left="76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num w:numId="1" w16cid:durableId="2105689116">
    <w:abstractNumId w:val="3"/>
  </w:num>
  <w:num w:numId="2" w16cid:durableId="1816142852">
    <w:abstractNumId w:val="1"/>
  </w:num>
  <w:num w:numId="3" w16cid:durableId="1020817946">
    <w:abstractNumId w:val="0"/>
  </w:num>
  <w:num w:numId="4" w16cid:durableId="122771263">
    <w:abstractNumId w:val="4"/>
  </w:num>
  <w:num w:numId="5" w16cid:durableId="1398043130">
    <w:abstractNumId w:val="5"/>
  </w:num>
  <w:num w:numId="6" w16cid:durableId="208418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51"/>
    <w:rsid w:val="00034551"/>
    <w:rsid w:val="0006612E"/>
    <w:rsid w:val="00113C57"/>
    <w:rsid w:val="0017155A"/>
    <w:rsid w:val="003A6F15"/>
    <w:rsid w:val="007E2170"/>
    <w:rsid w:val="00961BF5"/>
    <w:rsid w:val="00A1557B"/>
    <w:rsid w:val="00AB5E6A"/>
    <w:rsid w:val="00B22B6F"/>
    <w:rsid w:val="00B807A1"/>
    <w:rsid w:val="00C2584F"/>
    <w:rsid w:val="00D45D43"/>
    <w:rsid w:val="00F96C3B"/>
    <w:rsid w:val="0372DBAC"/>
    <w:rsid w:val="4C1314E0"/>
    <w:rsid w:val="57DAD2B8"/>
    <w:rsid w:val="7967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EE96"/>
  <w15:chartTrackingRefBased/>
  <w15:docId w15:val="{E3E942B9-21A4-4CBC-802E-29C45287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3455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pellingerror" w:customStyle="1">
    <w:name w:val="spellingerror"/>
    <w:basedOn w:val="DefaultParagraphFont"/>
    <w:rsid w:val="00034551"/>
  </w:style>
  <w:style w:type="character" w:styleId="contextualspellingandgrammarerror" w:customStyle="1">
    <w:name w:val="contextualspellingandgrammarerror"/>
    <w:basedOn w:val="DefaultParagraphFont"/>
    <w:rsid w:val="00034551"/>
  </w:style>
  <w:style w:type="character" w:styleId="advancedproofingissue" w:customStyle="1">
    <w:name w:val="advancedproofingissue"/>
    <w:basedOn w:val="DefaultParagraphFont"/>
    <w:rsid w:val="00034551"/>
  </w:style>
  <w:style w:type="character" w:styleId="normaltextrun1" w:customStyle="1">
    <w:name w:val="normaltextrun1"/>
    <w:basedOn w:val="DefaultParagraphFont"/>
    <w:rsid w:val="00034551"/>
  </w:style>
  <w:style w:type="character" w:styleId="eop" w:customStyle="1">
    <w:name w:val="eop"/>
    <w:basedOn w:val="DefaultParagraphFont"/>
    <w:rsid w:val="0003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5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46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10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87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78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551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10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85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759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190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26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3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3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210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206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748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7051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30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537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05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44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29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82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632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902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CB767ECA2945A2972C1B8C4B2FAF" ma:contentTypeVersion="14" ma:contentTypeDescription="Create a new document." ma:contentTypeScope="" ma:versionID="3b89e6419715cc261c64de49832ea87d">
  <xsd:schema xmlns:xsd="http://www.w3.org/2001/XMLSchema" xmlns:xs="http://www.w3.org/2001/XMLSchema" xmlns:p="http://schemas.microsoft.com/office/2006/metadata/properties" xmlns:ns2="60b383c8-d514-46d9-801f-d9bf9d31236e" xmlns:ns3="d1d1d275-8768-4d4a-979e-aa04a4efa952" targetNamespace="http://schemas.microsoft.com/office/2006/metadata/properties" ma:root="true" ma:fieldsID="de1cc85bcf6387031f34ca1355193270" ns2:_="" ns3:_="">
    <xsd:import namespace="60b383c8-d514-46d9-801f-d9bf9d31236e"/>
    <xsd:import namespace="d1d1d275-8768-4d4a-979e-aa04a4efa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3c8-d514-46d9-801f-d9bf9d312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d275-8768-4d4a-979e-aa04a4efa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474ac-1042-4b67-8499-cc006b33c5f0}" ma:internalName="TaxCatchAll" ma:showField="CatchAllData" ma:web="d1d1d275-8768-4d4a-979e-aa04a4efa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d1d275-8768-4d4a-979e-aa04a4efa952" xsi:nil="true"/>
    <lcf76f155ced4ddcb4097134ff3c332f xmlns="60b383c8-d514-46d9-801f-d9bf9d3123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96F36-61FE-4848-8678-A30D6405907E}"/>
</file>

<file path=customXml/itemProps2.xml><?xml version="1.0" encoding="utf-8"?>
<ds:datastoreItem xmlns:ds="http://schemas.openxmlformats.org/officeDocument/2006/customXml" ds:itemID="{FB9C0967-63B2-44C2-BA2C-8F8025A50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8D3E2-5BC1-4BC9-994E-29EA3F3BF03A}">
  <ds:schemaRefs>
    <ds:schemaRef ds:uri="http://schemas.microsoft.com/office/2006/metadata/properties"/>
    <ds:schemaRef ds:uri="http://schemas.microsoft.com/office/infopath/2007/PartnerControls"/>
    <ds:schemaRef ds:uri="d1d1d275-8768-4d4a-979e-aa04a4efa952"/>
    <ds:schemaRef ds:uri="34dfa862-3b50-45c2-a504-4da536f0c4e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FAO of the 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AsshetonBlair, Emma (ESA)</dc:creator>
  <keywords/>
  <dc:description/>
  <lastModifiedBy>DiCocco, Sharon (ESA)</lastModifiedBy>
  <revision>5</revision>
  <dcterms:created xsi:type="dcterms:W3CDTF">2020-03-19T22:38:00.0000000Z</dcterms:created>
  <dcterms:modified xsi:type="dcterms:W3CDTF">2024-11-28T13:42:43.6909398Z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0x0101009C8CCB767ECA2945A2972C1B8C4B2FAF</vt:lpwstr>
  </property>
  <property fmtid="{D5CDD505-2E9C-101B-9397-08002B2CF9AE}" pid="3" name="MediaServiceImageTags">
    <vt:lpwstr/>
  </property>
</Properties>
</file>