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F4A90" w14:textId="77777777" w:rsidR="00C178C0" w:rsidRDefault="00C178C0" w:rsidP="00BA06C3">
      <w:pPr>
        <w:spacing w:after="0" w:line="240" w:lineRule="auto"/>
        <w:ind w:right="0"/>
        <w:jc w:val="center"/>
        <w:rPr>
          <w:rFonts w:ascii="Myriad Pro" w:hAnsi="Myriad Pro"/>
          <w:b/>
          <w:sz w:val="28"/>
          <w:lang w:val="en-GB"/>
        </w:rPr>
      </w:pPr>
    </w:p>
    <w:p w14:paraId="60A8DDD5" w14:textId="493D4A11" w:rsidR="002D6A5D" w:rsidRPr="00C178C0" w:rsidRDefault="002D6A5D" w:rsidP="00BA06C3">
      <w:pPr>
        <w:spacing w:after="0" w:line="240" w:lineRule="auto"/>
        <w:ind w:right="0"/>
        <w:jc w:val="center"/>
        <w:rPr>
          <w:rFonts w:ascii="Myriad Pro" w:hAnsi="Myriad Pro"/>
          <w:lang w:val="en-GB"/>
        </w:rPr>
      </w:pPr>
      <w:r w:rsidRPr="00C178C0">
        <w:rPr>
          <w:rFonts w:ascii="Myriad Pro" w:hAnsi="Myriad Pro"/>
          <w:b/>
          <w:sz w:val="28"/>
          <w:lang w:val="en-GB"/>
        </w:rPr>
        <w:t>Virtual IPC Acute Malnutrition Analysis in the Context of COVID-19 Pandemic</w:t>
      </w:r>
    </w:p>
    <w:p w14:paraId="49530CDE" w14:textId="77777777" w:rsidR="002D6A5D" w:rsidRPr="00C178C0" w:rsidRDefault="002D6A5D" w:rsidP="00BA06C3">
      <w:pPr>
        <w:spacing w:after="0" w:line="240" w:lineRule="auto"/>
        <w:ind w:left="0" w:right="0" w:firstLine="0"/>
        <w:jc w:val="center"/>
        <w:rPr>
          <w:rFonts w:ascii="Myriad Pro" w:hAnsi="Myriad Pro"/>
          <w:b/>
          <w:sz w:val="28"/>
          <w:lang w:val="en-GB"/>
        </w:rPr>
      </w:pPr>
    </w:p>
    <w:p w14:paraId="12218E59" w14:textId="77777777" w:rsidR="00907E44" w:rsidRPr="00C178C0" w:rsidRDefault="00907E44" w:rsidP="00BA06C3">
      <w:pPr>
        <w:spacing w:after="0" w:line="240" w:lineRule="auto"/>
        <w:ind w:left="0" w:right="0" w:firstLine="0"/>
        <w:jc w:val="center"/>
        <w:rPr>
          <w:rFonts w:ascii="Myriad Pro" w:hAnsi="Myriad Pro"/>
          <w:b/>
          <w:sz w:val="28"/>
          <w:lang w:val="en-GB"/>
        </w:rPr>
      </w:pPr>
      <w:r w:rsidRPr="00C178C0">
        <w:rPr>
          <w:rFonts w:ascii="Myriad Pro" w:hAnsi="Myriad Pro"/>
          <w:b/>
          <w:sz w:val="28"/>
          <w:lang w:val="en-GB"/>
        </w:rPr>
        <w:t>Concept Note</w:t>
      </w:r>
    </w:p>
    <w:p w14:paraId="2C5E9CD0" w14:textId="77777777" w:rsidR="000C0DBF" w:rsidRPr="00C178C0" w:rsidRDefault="000C0DBF" w:rsidP="00BA06C3">
      <w:pPr>
        <w:spacing w:after="0" w:line="240" w:lineRule="auto"/>
        <w:ind w:left="0" w:right="0" w:firstLine="0"/>
        <w:jc w:val="left"/>
        <w:rPr>
          <w:rFonts w:ascii="Myriad Pro" w:hAnsi="Myriad Pro"/>
          <w:lang w:val="en-GB"/>
        </w:rPr>
      </w:pPr>
    </w:p>
    <w:p w14:paraId="44B29F0B" w14:textId="77777777" w:rsidR="000C0DBF" w:rsidRPr="00C178C0" w:rsidRDefault="005F55E2" w:rsidP="00BA06C3">
      <w:pPr>
        <w:pStyle w:val="Heading1"/>
        <w:spacing w:after="0" w:line="240" w:lineRule="auto"/>
        <w:ind w:left="256" w:hanging="271"/>
        <w:rPr>
          <w:rFonts w:ascii="Myriad Pro" w:hAnsi="Myriad Pro"/>
          <w:lang w:val="en-GB"/>
        </w:rPr>
      </w:pPr>
      <w:r w:rsidRPr="00C178C0">
        <w:rPr>
          <w:rFonts w:ascii="Myriad Pro" w:hAnsi="Myriad Pro"/>
          <w:lang w:val="en-GB"/>
        </w:rPr>
        <w:t xml:space="preserve">Rationale </w:t>
      </w:r>
    </w:p>
    <w:p w14:paraId="138C4DC7" w14:textId="1E8E56AB"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The COVID-19 pandemic is having an unprecedented impact around the globe. Not only does it entail scaling up public health preparedness and response and protecting vulnerable </w:t>
      </w:r>
      <w:r w:rsidR="00A471E3" w:rsidRPr="00C178C0">
        <w:rPr>
          <w:rFonts w:ascii="Myriad Pro" w:hAnsi="Myriad Pro"/>
          <w:lang w:val="en-GB"/>
        </w:rPr>
        <w:t>populations,</w:t>
      </w:r>
      <w:r w:rsidRPr="00C178C0">
        <w:rPr>
          <w:rFonts w:ascii="Myriad Pro" w:hAnsi="Myriad Pro"/>
          <w:lang w:val="en-GB"/>
        </w:rPr>
        <w:t xml:space="preserve"> but it also requires mitigating the broader social and economic impact on the population. </w:t>
      </w:r>
      <w:r w:rsidR="00C37E48" w:rsidRPr="00C178C0">
        <w:rPr>
          <w:rFonts w:ascii="Myriad Pro" w:hAnsi="Myriad Pro"/>
          <w:lang w:val="en-GB"/>
        </w:rPr>
        <w:t xml:space="preserve"> </w:t>
      </w:r>
      <w:r w:rsidRPr="00C178C0">
        <w:rPr>
          <w:rFonts w:ascii="Myriad Pro" w:hAnsi="Myriad Pro"/>
          <w:lang w:val="en-GB"/>
        </w:rPr>
        <w:t>The pandemic may also affect the delivery of humanitarian assistance due to transport restrictions, reduced financial resources given the need to support COVID-19 efforts</w:t>
      </w:r>
      <w:r w:rsidR="00877BB1" w:rsidRPr="00C178C0">
        <w:rPr>
          <w:rFonts w:ascii="Myriad Pro" w:hAnsi="Myriad Pro"/>
          <w:lang w:val="en-GB"/>
        </w:rPr>
        <w:t>,</w:t>
      </w:r>
      <w:r w:rsidRPr="00C178C0">
        <w:rPr>
          <w:rFonts w:ascii="Myriad Pro" w:hAnsi="Myriad Pro"/>
          <w:lang w:val="en-GB"/>
        </w:rPr>
        <w:t xml:space="preserve"> etc. This may have major consequences for the populations who are heavily dependent on humanitarian assistance. </w:t>
      </w:r>
    </w:p>
    <w:p w14:paraId="08908A89" w14:textId="77777777" w:rsidR="001E060B" w:rsidRPr="00C178C0" w:rsidRDefault="001E060B" w:rsidP="00BA06C3">
      <w:pPr>
        <w:spacing w:after="0" w:line="240" w:lineRule="auto"/>
        <w:ind w:left="-5" w:right="48"/>
        <w:rPr>
          <w:rFonts w:ascii="Myriad Pro" w:hAnsi="Myriad Pro"/>
          <w:lang w:val="en-GB"/>
        </w:rPr>
      </w:pPr>
    </w:p>
    <w:p w14:paraId="2C1F68F0" w14:textId="590B20D7" w:rsidR="005B7E4E"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IPC has been playing a major role in informing decisions on resource allocations and programming of </w:t>
      </w:r>
      <w:r w:rsidR="001E060B" w:rsidRPr="00C178C0">
        <w:rPr>
          <w:rFonts w:ascii="Myriad Pro" w:hAnsi="Myriad Pro"/>
          <w:lang w:val="en-GB"/>
        </w:rPr>
        <w:t>food security and nutrition</w:t>
      </w:r>
      <w:r w:rsidRPr="00C178C0">
        <w:rPr>
          <w:rFonts w:ascii="Myriad Pro" w:hAnsi="Myriad Pro"/>
          <w:lang w:val="en-GB"/>
        </w:rPr>
        <w:t xml:space="preserve"> in 30 countries. In the current context, this role </w:t>
      </w:r>
      <w:r w:rsidR="00133258" w:rsidRPr="00C178C0">
        <w:rPr>
          <w:rFonts w:ascii="Myriad Pro" w:hAnsi="Myriad Pro"/>
          <w:lang w:val="en-GB"/>
        </w:rPr>
        <w:t xml:space="preserve">has </w:t>
      </w:r>
      <w:r w:rsidRPr="00C178C0">
        <w:rPr>
          <w:rFonts w:ascii="Myriad Pro" w:hAnsi="Myriad Pro"/>
          <w:lang w:val="en-GB"/>
        </w:rPr>
        <w:t xml:space="preserve">become even more critical. </w:t>
      </w:r>
      <w:r w:rsidR="007D3EDE" w:rsidRPr="00C178C0">
        <w:rPr>
          <w:rFonts w:ascii="Myriad Pro" w:hAnsi="Myriad Pro"/>
          <w:lang w:val="en-GB"/>
        </w:rPr>
        <w:t>C</w:t>
      </w:r>
      <w:r w:rsidRPr="00C178C0">
        <w:rPr>
          <w:rFonts w:ascii="Myriad Pro" w:hAnsi="Myriad Pro"/>
          <w:lang w:val="en-GB"/>
        </w:rPr>
        <w:t>onducting</w:t>
      </w:r>
      <w:r w:rsidR="00E53A6E" w:rsidRPr="00C178C0">
        <w:rPr>
          <w:rFonts w:ascii="Myriad Pro" w:hAnsi="Myriad Pro"/>
          <w:lang w:val="en-GB"/>
        </w:rPr>
        <w:t xml:space="preserve"> an</w:t>
      </w:r>
      <w:r w:rsidRPr="00C178C0">
        <w:rPr>
          <w:rFonts w:ascii="Myriad Pro" w:hAnsi="Myriad Pro"/>
          <w:lang w:val="en-GB"/>
        </w:rPr>
        <w:t xml:space="preserve"> IPC analysis </w:t>
      </w:r>
      <w:r w:rsidR="00C37E48" w:rsidRPr="00C178C0">
        <w:rPr>
          <w:rFonts w:ascii="Myriad Pro" w:hAnsi="Myriad Pro"/>
          <w:lang w:val="en-GB"/>
        </w:rPr>
        <w:t>usually</w:t>
      </w:r>
      <w:r w:rsidRPr="00C178C0">
        <w:rPr>
          <w:rFonts w:ascii="Myriad Pro" w:hAnsi="Myriad Pro"/>
          <w:lang w:val="en-GB"/>
        </w:rPr>
        <w:t xml:space="preserve"> </w:t>
      </w:r>
      <w:r w:rsidR="007D3EDE" w:rsidRPr="00C178C0">
        <w:rPr>
          <w:rFonts w:ascii="Myriad Pro" w:hAnsi="Myriad Pro"/>
          <w:lang w:val="en-GB"/>
        </w:rPr>
        <w:t>involves</w:t>
      </w:r>
      <w:r w:rsidRPr="00C178C0">
        <w:rPr>
          <w:rFonts w:ascii="Myriad Pro" w:hAnsi="Myriad Pro"/>
          <w:lang w:val="en-GB"/>
        </w:rPr>
        <w:t xml:space="preserve"> gathering people from various parts of the country in a central location and bringing in IPC experts from oversees to provide facilitation and technical support. In the current context of travel restrictions and containment, this approach is not feasible. By leveraging existing technologies and existing tools, the IPC initiative </w:t>
      </w:r>
      <w:r w:rsidR="00C37E48" w:rsidRPr="00C178C0">
        <w:rPr>
          <w:rFonts w:ascii="Myriad Pro" w:hAnsi="Myriad Pro"/>
          <w:lang w:val="en-GB"/>
        </w:rPr>
        <w:t>intends</w:t>
      </w:r>
      <w:r w:rsidRPr="00C178C0">
        <w:rPr>
          <w:rFonts w:ascii="Myriad Pro" w:hAnsi="Myriad Pro"/>
          <w:lang w:val="en-GB"/>
        </w:rPr>
        <w:t xml:space="preserve"> to pursue IPC activities </w:t>
      </w:r>
      <w:r w:rsidR="00C37E48" w:rsidRPr="00C178C0">
        <w:rPr>
          <w:rFonts w:ascii="Myriad Pro" w:hAnsi="Myriad Pro"/>
          <w:lang w:val="en-GB"/>
        </w:rPr>
        <w:t>virtually</w:t>
      </w:r>
      <w:r w:rsidRPr="00C178C0">
        <w:rPr>
          <w:rFonts w:ascii="Myriad Pro" w:hAnsi="Myriad Pro"/>
          <w:lang w:val="en-GB"/>
        </w:rPr>
        <w:t>, one which does not put people at risk.</w:t>
      </w:r>
    </w:p>
    <w:p w14:paraId="4C097762" w14:textId="77777777" w:rsidR="005B7E4E" w:rsidRPr="00C178C0" w:rsidRDefault="005B7E4E" w:rsidP="00BA06C3">
      <w:pPr>
        <w:spacing w:after="0" w:line="240" w:lineRule="auto"/>
        <w:ind w:left="-5" w:right="48"/>
        <w:rPr>
          <w:rFonts w:ascii="Myriad Pro" w:hAnsi="Myriad Pro"/>
          <w:lang w:val="en-GB"/>
        </w:rPr>
      </w:pPr>
    </w:p>
    <w:p w14:paraId="2235CD49" w14:textId="2FC94320"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In this document, the IPC Global Support Unit (GSU) provides </w:t>
      </w:r>
      <w:r w:rsidR="00016A7C" w:rsidRPr="00C178C0">
        <w:rPr>
          <w:rFonts w:ascii="Myriad Pro" w:hAnsi="Myriad Pro"/>
          <w:lang w:val="en-GB"/>
        </w:rPr>
        <w:t>guidance on how to organize and carry out</w:t>
      </w:r>
      <w:r w:rsidRPr="00C178C0">
        <w:rPr>
          <w:rFonts w:ascii="Myriad Pro" w:hAnsi="Myriad Pro"/>
          <w:lang w:val="en-GB"/>
        </w:rPr>
        <w:t xml:space="preserve"> IPC </w:t>
      </w:r>
      <w:r w:rsidR="00C37E48" w:rsidRPr="00C178C0">
        <w:rPr>
          <w:rFonts w:ascii="Myriad Pro" w:hAnsi="Myriad Pro"/>
          <w:lang w:val="en-GB"/>
        </w:rPr>
        <w:t>AMN</w:t>
      </w:r>
      <w:r w:rsidRPr="00C178C0">
        <w:rPr>
          <w:rFonts w:ascii="Myriad Pro" w:hAnsi="Myriad Pro"/>
          <w:lang w:val="en-GB"/>
        </w:rPr>
        <w:t xml:space="preserve"> analyses through virtual modalities.</w:t>
      </w:r>
    </w:p>
    <w:p w14:paraId="05112577" w14:textId="77777777" w:rsidR="000C0DBF" w:rsidRPr="00C178C0" w:rsidRDefault="000C0DBF" w:rsidP="00BA06C3">
      <w:pPr>
        <w:spacing w:after="0" w:line="240" w:lineRule="auto"/>
        <w:ind w:left="0" w:right="0" w:firstLine="0"/>
        <w:rPr>
          <w:rFonts w:ascii="Myriad Pro" w:hAnsi="Myriad Pro"/>
          <w:lang w:val="en-GB"/>
        </w:rPr>
      </w:pPr>
    </w:p>
    <w:p w14:paraId="7DD705B1" w14:textId="77777777" w:rsidR="00F80AEE" w:rsidRPr="00C178C0" w:rsidRDefault="00F80AEE" w:rsidP="00BA06C3">
      <w:pPr>
        <w:spacing w:after="0" w:line="240" w:lineRule="auto"/>
        <w:ind w:left="0" w:right="0" w:firstLine="0"/>
        <w:rPr>
          <w:rFonts w:ascii="Myriad Pro" w:hAnsi="Myriad Pro"/>
          <w:lang w:val="en-GB"/>
        </w:rPr>
      </w:pPr>
    </w:p>
    <w:p w14:paraId="3D0251BC" w14:textId="77777777" w:rsidR="000C0DBF" w:rsidRPr="00C178C0" w:rsidRDefault="005F55E2" w:rsidP="00BA06C3">
      <w:pPr>
        <w:pStyle w:val="Heading1"/>
        <w:spacing w:after="0" w:line="240" w:lineRule="auto"/>
        <w:ind w:left="256" w:hanging="271"/>
        <w:jc w:val="both"/>
        <w:rPr>
          <w:rFonts w:ascii="Myriad Pro" w:hAnsi="Myriad Pro"/>
          <w:lang w:val="en-GB"/>
        </w:rPr>
      </w:pPr>
      <w:r w:rsidRPr="00C178C0">
        <w:rPr>
          <w:rFonts w:ascii="Myriad Pro" w:hAnsi="Myriad Pro"/>
          <w:lang w:val="en-GB"/>
        </w:rPr>
        <w:t xml:space="preserve">Objective </w:t>
      </w:r>
    </w:p>
    <w:p w14:paraId="1D066BA5" w14:textId="5895569B"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The </w:t>
      </w:r>
      <w:r w:rsidR="00F80AEE" w:rsidRPr="00C178C0">
        <w:rPr>
          <w:rFonts w:ascii="Myriad Pro" w:hAnsi="Myriad Pro"/>
          <w:lang w:val="en-GB"/>
        </w:rPr>
        <w:t xml:space="preserve">main objective of the virtual IPC AMN analysis is </w:t>
      </w:r>
      <w:r w:rsidRPr="00C178C0">
        <w:rPr>
          <w:rFonts w:ascii="Myriad Pro" w:hAnsi="Myriad Pro"/>
          <w:lang w:val="en-GB"/>
        </w:rPr>
        <w:t xml:space="preserve">to ensure that the IPC </w:t>
      </w:r>
      <w:r w:rsidR="00715C23" w:rsidRPr="00C178C0">
        <w:rPr>
          <w:rFonts w:ascii="Myriad Pro" w:hAnsi="Myriad Pro"/>
          <w:lang w:val="en-GB"/>
        </w:rPr>
        <w:t>continues to provide</w:t>
      </w:r>
      <w:r w:rsidRPr="00C178C0">
        <w:rPr>
          <w:rFonts w:ascii="Myriad Pro" w:hAnsi="Myriad Pro"/>
          <w:lang w:val="en-GB"/>
        </w:rPr>
        <w:t xml:space="preserve"> decision</w:t>
      </w:r>
      <w:r w:rsidR="00E375B8" w:rsidRPr="00C178C0">
        <w:rPr>
          <w:rFonts w:ascii="Myriad Pro" w:hAnsi="Myriad Pro"/>
          <w:lang w:val="en-GB"/>
        </w:rPr>
        <w:t xml:space="preserve"> </w:t>
      </w:r>
      <w:r w:rsidR="00715C23" w:rsidRPr="00C178C0">
        <w:rPr>
          <w:rFonts w:ascii="Myriad Pro" w:hAnsi="Myriad Pro"/>
          <w:lang w:val="en-GB"/>
        </w:rPr>
        <w:t>makers</w:t>
      </w:r>
      <w:r w:rsidRPr="00C178C0">
        <w:rPr>
          <w:rFonts w:ascii="Myriad Pro" w:hAnsi="Myriad Pro"/>
          <w:lang w:val="en-GB"/>
        </w:rPr>
        <w:t xml:space="preserve"> actionable knowledge </w:t>
      </w:r>
      <w:r w:rsidR="007D3D59" w:rsidRPr="00C178C0">
        <w:rPr>
          <w:rFonts w:ascii="Myriad Pro" w:hAnsi="Myriad Pro"/>
          <w:lang w:val="en-GB"/>
        </w:rPr>
        <w:t>on acute</w:t>
      </w:r>
      <w:r w:rsidRPr="00C178C0">
        <w:rPr>
          <w:rFonts w:ascii="Myriad Pro" w:hAnsi="Myriad Pro"/>
          <w:lang w:val="en-GB"/>
        </w:rPr>
        <w:t xml:space="preserve"> malnutrition</w:t>
      </w:r>
      <w:r w:rsidR="00E375B8" w:rsidRPr="00C178C0">
        <w:rPr>
          <w:rFonts w:ascii="Myriad Pro" w:hAnsi="Myriad Pro"/>
          <w:lang w:val="en-GB"/>
        </w:rPr>
        <w:t xml:space="preserve"> </w:t>
      </w:r>
      <w:r w:rsidRPr="00C178C0">
        <w:rPr>
          <w:rFonts w:ascii="Myriad Pro" w:hAnsi="Myriad Pro"/>
          <w:lang w:val="en-GB"/>
        </w:rPr>
        <w:t>in a timely manner. This entails introducing specific and efficient processes at the country level, while ensuring compliance with IPC protocols, including IPC Function 1 (Build Technical Consensus). Importantly, IPC will remain a country owned process that will ensure that analysts are constantly engaged.</w:t>
      </w:r>
    </w:p>
    <w:p w14:paraId="1A5C6452" w14:textId="77777777" w:rsidR="00FE4CB9" w:rsidRPr="00C178C0" w:rsidRDefault="00FE4CB9" w:rsidP="00BA06C3">
      <w:pPr>
        <w:spacing w:after="0" w:line="240" w:lineRule="auto"/>
        <w:ind w:left="-5" w:right="48"/>
        <w:rPr>
          <w:rFonts w:ascii="Myriad Pro" w:hAnsi="Myriad Pro"/>
          <w:lang w:val="en-GB"/>
        </w:rPr>
      </w:pPr>
    </w:p>
    <w:p w14:paraId="65816D49" w14:textId="315B7A7D"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The IPC GSU will provide remote support to country </w:t>
      </w:r>
      <w:r w:rsidR="00A83355" w:rsidRPr="00C178C0">
        <w:rPr>
          <w:rFonts w:ascii="Myriad Pro" w:hAnsi="Myriad Pro"/>
          <w:lang w:val="en-GB"/>
        </w:rPr>
        <w:t>TWGs</w:t>
      </w:r>
      <w:r w:rsidRPr="00C178C0">
        <w:rPr>
          <w:rFonts w:ascii="Myriad Pro" w:hAnsi="Myriad Pro"/>
          <w:lang w:val="en-GB"/>
        </w:rPr>
        <w:t xml:space="preserve"> with the aim of ensuring a neutral process and producing high quality analyses. GSU’s level of engagement with analysis teams will be tailored to countries’ needs, capacity and number of areas to </w:t>
      </w:r>
      <w:r w:rsidR="007D58D8" w:rsidRPr="00C178C0">
        <w:rPr>
          <w:rFonts w:ascii="Myriad Pro" w:hAnsi="Myriad Pro"/>
          <w:lang w:val="en-GB"/>
        </w:rPr>
        <w:t>analyse</w:t>
      </w:r>
      <w:r w:rsidRPr="00C178C0">
        <w:rPr>
          <w:rFonts w:ascii="Myriad Pro" w:hAnsi="Myriad Pro"/>
          <w:lang w:val="en-GB"/>
        </w:rPr>
        <w:t>.</w:t>
      </w:r>
    </w:p>
    <w:p w14:paraId="314A7F02" w14:textId="77777777" w:rsidR="00A83355" w:rsidRPr="00C178C0" w:rsidRDefault="00A83355" w:rsidP="00BA06C3">
      <w:pPr>
        <w:spacing w:after="0" w:line="240" w:lineRule="auto"/>
        <w:ind w:left="-5" w:right="48"/>
        <w:jc w:val="left"/>
        <w:rPr>
          <w:rFonts w:ascii="Myriad Pro" w:hAnsi="Myriad Pro"/>
          <w:lang w:val="en-GB"/>
        </w:rPr>
      </w:pPr>
    </w:p>
    <w:p w14:paraId="11F74260" w14:textId="77777777" w:rsidR="000C0DBF" w:rsidRPr="00C178C0" w:rsidRDefault="000C0DBF" w:rsidP="00BA06C3">
      <w:pPr>
        <w:spacing w:after="0" w:line="240" w:lineRule="auto"/>
        <w:ind w:left="0" w:right="0" w:firstLine="0"/>
        <w:jc w:val="left"/>
        <w:rPr>
          <w:rFonts w:ascii="Myriad Pro" w:hAnsi="Myriad Pro"/>
          <w:lang w:val="en-GB"/>
        </w:rPr>
      </w:pPr>
    </w:p>
    <w:p w14:paraId="55BA1DC3" w14:textId="77777777" w:rsidR="000C0DBF" w:rsidRPr="00C178C0" w:rsidRDefault="005F55E2" w:rsidP="00BA06C3">
      <w:pPr>
        <w:pStyle w:val="Heading1"/>
        <w:spacing w:after="0" w:line="240" w:lineRule="auto"/>
        <w:ind w:left="227" w:hanging="242"/>
        <w:rPr>
          <w:rFonts w:ascii="Myriad Pro" w:hAnsi="Myriad Pro"/>
          <w:lang w:val="en-GB"/>
        </w:rPr>
      </w:pPr>
      <w:r w:rsidRPr="00C178C0">
        <w:rPr>
          <w:rFonts w:ascii="Myriad Pro" w:hAnsi="Myriad Pro"/>
          <w:lang w:val="en-GB"/>
        </w:rPr>
        <w:t xml:space="preserve">Implementation modalities </w:t>
      </w:r>
      <w:r w:rsidRPr="00C178C0">
        <w:rPr>
          <w:rFonts w:ascii="Myriad Pro" w:eastAsia="Arial" w:hAnsi="Myriad Pro" w:cs="Arial"/>
          <w:lang w:val="en-GB"/>
        </w:rPr>
        <w:t xml:space="preserve"> </w:t>
      </w:r>
      <w:r w:rsidRPr="00C178C0">
        <w:rPr>
          <w:rFonts w:ascii="Myriad Pro" w:hAnsi="Myriad Pro"/>
          <w:lang w:val="en-GB"/>
        </w:rPr>
        <w:t xml:space="preserve"> </w:t>
      </w:r>
    </w:p>
    <w:p w14:paraId="6014A737" w14:textId="77777777" w:rsidR="000C0DBF" w:rsidRPr="00C178C0" w:rsidRDefault="005F55E2" w:rsidP="00BA06C3">
      <w:pPr>
        <w:spacing w:after="0" w:line="240" w:lineRule="auto"/>
        <w:ind w:left="-5" w:right="48"/>
        <w:jc w:val="left"/>
        <w:rPr>
          <w:rFonts w:ascii="Myriad Pro" w:hAnsi="Myriad Pro"/>
          <w:b/>
          <w:bCs/>
          <w:lang w:val="en-GB"/>
        </w:rPr>
      </w:pPr>
      <w:r w:rsidRPr="00C178C0">
        <w:rPr>
          <w:rFonts w:ascii="Myriad Pro" w:hAnsi="Myriad Pro"/>
          <w:b/>
          <w:bCs/>
          <w:lang w:val="en-GB"/>
        </w:rPr>
        <w:t xml:space="preserve">a) Stakeholders </w:t>
      </w:r>
    </w:p>
    <w:p w14:paraId="135FDFF8" w14:textId="77777777"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lastRenderedPageBreak/>
        <w:t xml:space="preserve">While maintaining technical consensus at the core of IPC ‘virtual’ analyses, it is important to ensure that the process is both manageable and efficient. To this end, a reduced number of analysts (i.e. core team) will be responsible for completing all steps of the IPC analysis process and producing preliminary findings. A wider group of analysts will be engaged at specific stages of the process, for instance to provide feedback on preliminary classifications produced by the core team. The facilitation team will play a crucial role in supporting this process and ensuring compliance with IPC protocols. </w:t>
      </w:r>
    </w:p>
    <w:p w14:paraId="601FF1A7" w14:textId="77777777" w:rsidR="00A37AE0" w:rsidRPr="00C178C0" w:rsidRDefault="00A37AE0" w:rsidP="00BA06C3">
      <w:pPr>
        <w:spacing w:after="0" w:line="240" w:lineRule="auto"/>
        <w:ind w:left="-5" w:right="48"/>
        <w:rPr>
          <w:rFonts w:ascii="Myriad Pro" w:hAnsi="Myriad Pro"/>
          <w:lang w:val="en-GB"/>
        </w:rPr>
      </w:pPr>
    </w:p>
    <w:p w14:paraId="4486753A" w14:textId="77777777"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The main stakeholders of the IPC virtual analysis process are described below. </w:t>
      </w:r>
    </w:p>
    <w:p w14:paraId="754BF893" w14:textId="63A058E7" w:rsidR="000C0DBF" w:rsidRPr="00C178C0" w:rsidRDefault="005F55E2" w:rsidP="00BA06C3">
      <w:pPr>
        <w:numPr>
          <w:ilvl w:val="0"/>
          <w:numId w:val="4"/>
        </w:numPr>
        <w:spacing w:after="0" w:line="240" w:lineRule="auto"/>
        <w:ind w:right="48" w:hanging="360"/>
        <w:rPr>
          <w:rFonts w:ascii="Myriad Pro" w:hAnsi="Myriad Pro"/>
          <w:lang w:val="en-GB"/>
        </w:rPr>
      </w:pPr>
      <w:r w:rsidRPr="00C178C0">
        <w:rPr>
          <w:rFonts w:ascii="Myriad Pro" w:hAnsi="Myriad Pro"/>
          <w:b/>
          <w:lang w:val="en-GB"/>
        </w:rPr>
        <w:t xml:space="preserve">The Lead Facilitator </w:t>
      </w:r>
      <w:r w:rsidRPr="00C178C0">
        <w:rPr>
          <w:rFonts w:ascii="Myriad Pro" w:hAnsi="Myriad Pro"/>
          <w:lang w:val="en-GB"/>
        </w:rPr>
        <w:t>(IPC Level 3 certified from the IPC GSU): Through the lead facilitator, GSU will provide guidance on both technical issues and process</w:t>
      </w:r>
      <w:r w:rsidR="00BA06C3" w:rsidRPr="00C178C0">
        <w:rPr>
          <w:rFonts w:ascii="Myriad Pro" w:hAnsi="Myriad Pro"/>
          <w:lang w:val="en-GB"/>
        </w:rPr>
        <w:t>es</w:t>
      </w:r>
      <w:r w:rsidRPr="00C178C0">
        <w:rPr>
          <w:rFonts w:ascii="Myriad Pro" w:hAnsi="Myriad Pro"/>
          <w:lang w:val="en-GB"/>
        </w:rPr>
        <w:t xml:space="preserve"> with the aim of producing high quality analyses that comply with IPC protocols, including technical consensus. This will imply supporting and guiding the IPC virtual analysis through the whole process, step-by-step.  </w:t>
      </w:r>
    </w:p>
    <w:p w14:paraId="7E8C1CAE" w14:textId="77777777" w:rsidR="002E67C4" w:rsidRPr="00C178C0" w:rsidRDefault="002E67C4" w:rsidP="00BA06C3">
      <w:pPr>
        <w:spacing w:after="0" w:line="240" w:lineRule="auto"/>
        <w:ind w:left="180" w:right="48" w:firstLine="0"/>
        <w:rPr>
          <w:rFonts w:ascii="Myriad Pro" w:hAnsi="Myriad Pro"/>
          <w:lang w:val="en-GB"/>
        </w:rPr>
      </w:pPr>
    </w:p>
    <w:p w14:paraId="60353406" w14:textId="77777777" w:rsidR="000C0DBF" w:rsidRPr="00C178C0" w:rsidRDefault="005F55E2" w:rsidP="00BA06C3">
      <w:pPr>
        <w:numPr>
          <w:ilvl w:val="0"/>
          <w:numId w:val="4"/>
        </w:numPr>
        <w:spacing w:after="0" w:line="240" w:lineRule="auto"/>
        <w:ind w:right="48" w:hanging="360"/>
        <w:rPr>
          <w:rFonts w:ascii="Myriad Pro" w:hAnsi="Myriad Pro"/>
          <w:lang w:val="en-GB"/>
        </w:rPr>
      </w:pPr>
      <w:r w:rsidRPr="00C178C0">
        <w:rPr>
          <w:rFonts w:ascii="Myriad Pro" w:hAnsi="Myriad Pro"/>
          <w:b/>
          <w:lang w:val="en-GB"/>
        </w:rPr>
        <w:t xml:space="preserve">The Country Facilitation Team: </w:t>
      </w:r>
      <w:r w:rsidRPr="00C178C0">
        <w:rPr>
          <w:rFonts w:ascii="Myriad Pro" w:hAnsi="Myriad Pro"/>
          <w:lang w:val="en-GB"/>
        </w:rPr>
        <w:t>This team will be composed of a few experienced IPC co-facilitators</w:t>
      </w:r>
      <w:r w:rsidR="002E67C4" w:rsidRPr="00C178C0">
        <w:rPr>
          <w:rFonts w:ascii="Myriad Pro" w:hAnsi="Myriad Pro"/>
          <w:lang w:val="en-GB"/>
        </w:rPr>
        <w:t xml:space="preserve"> </w:t>
      </w:r>
      <w:r w:rsidRPr="00C178C0">
        <w:rPr>
          <w:rFonts w:ascii="Myriad Pro" w:hAnsi="Myriad Pro"/>
          <w:lang w:val="en-GB"/>
        </w:rPr>
        <w:t xml:space="preserve">who will oversee the work of the IPC analysis team, which will be split into small groups. Each member of the facilitation team (co-facilitator) will thus lead a small group of analysts working on a specific area (e.g. region) of the country.  As in regular analysis workshops, the country facilitation team will be in charge of preparing the analysis and ensuring that the country areas attributed to each co-facilitator/group are analysed in line with IPC protocols and within the established timeframe. In countries where the number of people meeting the criteria for co-facilitation is insufficient, GSU will provide co-facilitators from its pool of global and regional experts. Capacity and plurality will be the main criteria for the composition of this group. </w:t>
      </w:r>
    </w:p>
    <w:p w14:paraId="7419AAE9" w14:textId="77777777" w:rsidR="00046F49" w:rsidRPr="00C178C0" w:rsidRDefault="00046F49" w:rsidP="00BA06C3">
      <w:pPr>
        <w:spacing w:after="0" w:line="240" w:lineRule="auto"/>
        <w:ind w:left="0" w:right="48" w:firstLine="0"/>
        <w:rPr>
          <w:rFonts w:ascii="Myriad Pro" w:hAnsi="Myriad Pro"/>
          <w:lang w:val="en-GB"/>
        </w:rPr>
      </w:pPr>
    </w:p>
    <w:p w14:paraId="21F57ABB" w14:textId="7C8061CF" w:rsidR="00ED24FB" w:rsidRPr="00C178C0" w:rsidRDefault="005F55E2" w:rsidP="00BA06C3">
      <w:pPr>
        <w:numPr>
          <w:ilvl w:val="0"/>
          <w:numId w:val="4"/>
        </w:numPr>
        <w:spacing w:after="0" w:line="240" w:lineRule="auto"/>
        <w:ind w:right="48" w:hanging="360"/>
        <w:rPr>
          <w:rFonts w:ascii="Myriad Pro" w:hAnsi="Myriad Pro"/>
          <w:lang w:val="en-GB"/>
        </w:rPr>
      </w:pPr>
      <w:r w:rsidRPr="00C178C0">
        <w:rPr>
          <w:rFonts w:ascii="Myriad Pro" w:hAnsi="Myriad Pro"/>
          <w:b/>
          <w:lang w:val="en-GB"/>
        </w:rPr>
        <w:t>The Core Analysis Team</w:t>
      </w:r>
      <w:r w:rsidRPr="00C178C0">
        <w:rPr>
          <w:rFonts w:ascii="Myriad Pro" w:hAnsi="Myriad Pro"/>
          <w:lang w:val="en-GB"/>
        </w:rPr>
        <w:t xml:space="preserve">: The country IPC </w:t>
      </w:r>
      <w:r w:rsidR="00046F49" w:rsidRPr="00C178C0">
        <w:rPr>
          <w:rFonts w:ascii="Myriad Pro" w:hAnsi="Myriad Pro"/>
          <w:lang w:val="en-GB"/>
        </w:rPr>
        <w:t>TWG</w:t>
      </w:r>
      <w:r w:rsidR="00603832" w:rsidRPr="00C178C0">
        <w:rPr>
          <w:rFonts w:ascii="Myriad Pro" w:hAnsi="Myriad Pro"/>
          <w:lang w:val="en-GB"/>
        </w:rPr>
        <w:t xml:space="preserve"> and the Nutrition Cluster</w:t>
      </w:r>
      <w:r w:rsidRPr="00C178C0">
        <w:rPr>
          <w:rFonts w:ascii="Myriad Pro" w:hAnsi="Myriad Pro"/>
          <w:lang w:val="en-GB"/>
        </w:rPr>
        <w:t xml:space="preserve"> will identify a maximum of 15-20 analysts (depending on the number of areas to analyse) to form the core analysis team. The members of this group will be selected by the TWG</w:t>
      </w:r>
      <w:r w:rsidR="00603832" w:rsidRPr="00C178C0">
        <w:rPr>
          <w:rFonts w:ascii="Myriad Pro" w:hAnsi="Myriad Pro"/>
          <w:lang w:val="en-GB"/>
        </w:rPr>
        <w:t>/Nutrition Cluster</w:t>
      </w:r>
      <w:r w:rsidRPr="00C178C0">
        <w:rPr>
          <w:rFonts w:ascii="Myriad Pro" w:hAnsi="Myriad Pro"/>
          <w:lang w:val="en-GB"/>
        </w:rPr>
        <w:t>, based on guidance provided by GSU, considering their level of certification, experience in IPC</w:t>
      </w:r>
      <w:r w:rsidR="00091B7A" w:rsidRPr="00C178C0">
        <w:rPr>
          <w:rFonts w:ascii="Myriad Pro" w:hAnsi="Myriad Pro"/>
          <w:lang w:val="en-GB"/>
        </w:rPr>
        <w:t xml:space="preserve"> AMN</w:t>
      </w:r>
      <w:r w:rsidRPr="00C178C0">
        <w:rPr>
          <w:rFonts w:ascii="Myriad Pro" w:hAnsi="Myriad Pro"/>
          <w:lang w:val="en-GB"/>
        </w:rPr>
        <w:t>, availability</w:t>
      </w:r>
      <w:r w:rsidR="00D861A2" w:rsidRPr="00C178C0">
        <w:rPr>
          <w:rFonts w:ascii="Myriad Pro" w:hAnsi="Myriad Pro"/>
          <w:lang w:val="en-GB"/>
        </w:rPr>
        <w:t>/</w:t>
      </w:r>
      <w:r w:rsidRPr="00C178C0">
        <w:rPr>
          <w:rFonts w:ascii="Myriad Pro" w:hAnsi="Myriad Pro"/>
          <w:lang w:val="en-GB"/>
        </w:rPr>
        <w:t xml:space="preserve">access to internet and proficiency in the use </w:t>
      </w:r>
      <w:r w:rsidR="00603832" w:rsidRPr="00C178C0">
        <w:rPr>
          <w:rFonts w:ascii="Myriad Pro" w:hAnsi="Myriad Pro"/>
          <w:lang w:val="en-GB"/>
        </w:rPr>
        <w:t xml:space="preserve">of collaboration </w:t>
      </w:r>
      <w:r w:rsidRPr="00C178C0">
        <w:rPr>
          <w:rFonts w:ascii="Myriad Pro" w:hAnsi="Myriad Pro"/>
          <w:lang w:val="en-GB"/>
        </w:rPr>
        <w:t xml:space="preserve">tools. The IPC core analysis team will be split into small groups of 2-3 people representing different institutions (government, UN agencies, NGOs).  Each small group will be facilitated by a co-facilitator and will </w:t>
      </w:r>
      <w:proofErr w:type="gramStart"/>
      <w:r w:rsidRPr="00C178C0">
        <w:rPr>
          <w:rFonts w:ascii="Myriad Pro" w:hAnsi="Myriad Pro"/>
          <w:lang w:val="en-GB"/>
        </w:rPr>
        <w:t>be in charge of</w:t>
      </w:r>
      <w:proofErr w:type="gramEnd"/>
      <w:r w:rsidRPr="00C178C0">
        <w:rPr>
          <w:rFonts w:ascii="Myriad Pro" w:hAnsi="Myriad Pro"/>
          <w:lang w:val="en-GB"/>
        </w:rPr>
        <w:t xml:space="preserve"> conducting the analysis for a given group of areas (analysis units) on a consensual basis. Capacity and plurality will be the main criteria for the composition of this group.</w:t>
      </w:r>
      <w:r w:rsidR="00ED24FB" w:rsidRPr="00C178C0">
        <w:rPr>
          <w:rFonts w:ascii="Myriad Pro" w:hAnsi="Myriad Pro"/>
          <w:lang w:val="en-GB"/>
        </w:rPr>
        <w:t xml:space="preserve"> The Core Analysis team has to be formed taking into account 4 basic criteria:</w:t>
      </w:r>
    </w:p>
    <w:p w14:paraId="61720AA9" w14:textId="58D28EC4" w:rsidR="00ED24FB" w:rsidRPr="00C178C0" w:rsidRDefault="00ED24FB" w:rsidP="0061145F">
      <w:pPr>
        <w:pStyle w:val="ListParagraph"/>
        <w:numPr>
          <w:ilvl w:val="0"/>
          <w:numId w:val="10"/>
        </w:numPr>
        <w:spacing w:after="0" w:line="240" w:lineRule="auto"/>
        <w:rPr>
          <w:rFonts w:ascii="Myriad Pro" w:hAnsi="Myriad Pro" w:cstheme="minorHAnsi"/>
          <w:sz w:val="20"/>
          <w:szCs w:val="20"/>
        </w:rPr>
      </w:pPr>
      <w:r w:rsidRPr="00C178C0">
        <w:rPr>
          <w:rFonts w:ascii="Myriad Pro" w:eastAsia="Times New Roman" w:hAnsi="Myriad Pro" w:cstheme="minorHAnsi"/>
          <w:b/>
          <w:sz w:val="20"/>
          <w:szCs w:val="20"/>
        </w:rPr>
        <w:t>Previous</w:t>
      </w:r>
      <w:r w:rsidRPr="00C178C0">
        <w:rPr>
          <w:rFonts w:ascii="Myriad Pro" w:hAnsi="Myriad Pro" w:cstheme="minorHAnsi"/>
          <w:b/>
          <w:sz w:val="20"/>
          <w:szCs w:val="20"/>
        </w:rPr>
        <w:t xml:space="preserve"> experience in IPC AMN:</w:t>
      </w:r>
      <w:r w:rsidRPr="00C178C0">
        <w:rPr>
          <w:rFonts w:ascii="Myriad Pro" w:hAnsi="Myriad Pro" w:cstheme="minorHAnsi"/>
          <w:sz w:val="20"/>
          <w:szCs w:val="20"/>
        </w:rPr>
        <w:t xml:space="preserve"> level of certification, role occupied in the past analyses, proactivity in previous analysis, proficiency of using </w:t>
      </w:r>
      <w:r w:rsidR="0061145F" w:rsidRPr="00C178C0">
        <w:rPr>
          <w:rFonts w:ascii="Myriad Pro" w:hAnsi="Myriad Pro" w:cstheme="minorHAnsi"/>
          <w:sz w:val="20"/>
          <w:szCs w:val="20"/>
        </w:rPr>
        <w:t xml:space="preserve">IPC </w:t>
      </w:r>
      <w:r w:rsidRPr="00C178C0">
        <w:rPr>
          <w:rFonts w:ascii="Myriad Pro" w:hAnsi="Myriad Pro" w:cstheme="minorHAnsi"/>
          <w:sz w:val="20"/>
          <w:szCs w:val="20"/>
        </w:rPr>
        <w:t xml:space="preserve">AMN analysis tools </w:t>
      </w:r>
    </w:p>
    <w:p w14:paraId="6F0FCE1B" w14:textId="44AEA6A5" w:rsidR="00ED24FB" w:rsidRPr="00C178C0" w:rsidRDefault="00BE3FA1" w:rsidP="0061145F">
      <w:pPr>
        <w:pStyle w:val="ListParagraph"/>
        <w:numPr>
          <w:ilvl w:val="0"/>
          <w:numId w:val="10"/>
        </w:numPr>
        <w:spacing w:after="0" w:line="240" w:lineRule="auto"/>
        <w:rPr>
          <w:rFonts w:ascii="Myriad Pro" w:hAnsi="Myriad Pro" w:cstheme="minorHAnsi"/>
          <w:sz w:val="20"/>
          <w:szCs w:val="20"/>
        </w:rPr>
      </w:pPr>
      <w:r w:rsidRPr="00C178C0">
        <w:rPr>
          <w:rFonts w:ascii="Myriad Pro" w:eastAsia="Times New Roman" w:hAnsi="Myriad Pro" w:cstheme="minorHAnsi"/>
          <w:b/>
          <w:sz w:val="20"/>
          <w:szCs w:val="20"/>
        </w:rPr>
        <w:t>Plurality</w:t>
      </w:r>
      <w:r w:rsidR="00ED24FB" w:rsidRPr="00C178C0">
        <w:rPr>
          <w:rFonts w:ascii="Myriad Pro" w:hAnsi="Myriad Pro" w:cstheme="minorHAnsi"/>
          <w:sz w:val="20"/>
          <w:szCs w:val="20"/>
        </w:rPr>
        <w:t>: to ensure that despite the reduction of the AT composition the function 1 (Build Technical Consensus) is complied with, the vast majority of partners operating in the nutrition sector in the country should be represented</w:t>
      </w:r>
    </w:p>
    <w:p w14:paraId="36EC05F4" w14:textId="68A34478" w:rsidR="00805335" w:rsidRPr="00C178C0" w:rsidRDefault="00805335" w:rsidP="0061145F">
      <w:pPr>
        <w:pStyle w:val="ListParagraph"/>
        <w:numPr>
          <w:ilvl w:val="0"/>
          <w:numId w:val="10"/>
        </w:numPr>
        <w:spacing w:after="0" w:line="240" w:lineRule="auto"/>
        <w:rPr>
          <w:rFonts w:ascii="Myriad Pro" w:hAnsi="Myriad Pro" w:cstheme="minorHAnsi"/>
          <w:sz w:val="20"/>
          <w:szCs w:val="20"/>
        </w:rPr>
      </w:pPr>
      <w:r w:rsidRPr="00C178C0">
        <w:rPr>
          <w:rFonts w:ascii="Myriad Pro" w:eastAsia="Times New Roman" w:hAnsi="Myriad Pro" w:cstheme="minorHAnsi"/>
          <w:b/>
          <w:sz w:val="20"/>
          <w:szCs w:val="20"/>
        </w:rPr>
        <w:t>Access</w:t>
      </w:r>
      <w:r w:rsidR="00ED24FB" w:rsidRPr="00C178C0">
        <w:rPr>
          <w:rFonts w:ascii="Myriad Pro" w:hAnsi="Myriad Pro" w:cstheme="minorHAnsi"/>
          <w:b/>
          <w:sz w:val="20"/>
          <w:szCs w:val="20"/>
        </w:rPr>
        <w:t xml:space="preserve"> to good internet connection and proficiency i</w:t>
      </w:r>
      <w:r w:rsidR="00594F70" w:rsidRPr="00C178C0">
        <w:rPr>
          <w:rFonts w:ascii="Myriad Pro" w:hAnsi="Myriad Pro" w:cstheme="minorHAnsi"/>
          <w:b/>
          <w:sz w:val="20"/>
          <w:szCs w:val="20"/>
        </w:rPr>
        <w:t>n</w:t>
      </w:r>
      <w:r w:rsidR="00ED24FB" w:rsidRPr="00C178C0">
        <w:rPr>
          <w:rFonts w:ascii="Myriad Pro" w:hAnsi="Myriad Pro" w:cstheme="minorHAnsi"/>
          <w:b/>
          <w:sz w:val="20"/>
          <w:szCs w:val="20"/>
        </w:rPr>
        <w:t xml:space="preserve"> us</w:t>
      </w:r>
      <w:r w:rsidR="00594F70" w:rsidRPr="00C178C0">
        <w:rPr>
          <w:rFonts w:ascii="Myriad Pro" w:hAnsi="Myriad Pro" w:cstheme="minorHAnsi"/>
          <w:b/>
          <w:sz w:val="20"/>
          <w:szCs w:val="20"/>
        </w:rPr>
        <w:t>ing</w:t>
      </w:r>
      <w:r w:rsidR="00ED24FB" w:rsidRPr="00C178C0">
        <w:rPr>
          <w:rFonts w:ascii="Myriad Pro" w:hAnsi="Myriad Pro" w:cstheme="minorHAnsi"/>
          <w:b/>
          <w:sz w:val="20"/>
          <w:szCs w:val="20"/>
        </w:rPr>
        <w:t xml:space="preserve"> IT tools</w:t>
      </w:r>
      <w:r w:rsidR="00ED24FB" w:rsidRPr="00C178C0">
        <w:rPr>
          <w:rFonts w:ascii="Myriad Pro" w:hAnsi="Myriad Pro" w:cstheme="minorHAnsi"/>
          <w:sz w:val="20"/>
          <w:szCs w:val="20"/>
        </w:rPr>
        <w:t xml:space="preserve"> including </w:t>
      </w:r>
      <w:proofErr w:type="spellStart"/>
      <w:r w:rsidR="00705C62" w:rsidRPr="00C178C0">
        <w:rPr>
          <w:rFonts w:ascii="Myriad Pro" w:hAnsi="Myriad Pro" w:cstheme="minorHAnsi"/>
          <w:sz w:val="20"/>
          <w:szCs w:val="20"/>
        </w:rPr>
        <w:t>Googledoc</w:t>
      </w:r>
      <w:proofErr w:type="spellEnd"/>
      <w:r w:rsidR="00705C62" w:rsidRPr="00C178C0">
        <w:rPr>
          <w:rFonts w:ascii="Myriad Pro" w:hAnsi="Myriad Pro" w:cstheme="minorHAnsi"/>
          <w:sz w:val="20"/>
          <w:szCs w:val="20"/>
        </w:rPr>
        <w:t xml:space="preserve">, </w:t>
      </w:r>
      <w:r w:rsidRPr="00C178C0">
        <w:rPr>
          <w:rFonts w:ascii="Myriad Pro" w:hAnsi="Myriad Pro" w:cstheme="minorHAnsi"/>
          <w:sz w:val="20"/>
          <w:szCs w:val="20"/>
        </w:rPr>
        <w:t>Doodle</w:t>
      </w:r>
      <w:r w:rsidR="00ED24FB" w:rsidRPr="00C178C0">
        <w:rPr>
          <w:rFonts w:ascii="Myriad Pro" w:hAnsi="Myriad Pro" w:cstheme="minorHAnsi"/>
          <w:sz w:val="20"/>
          <w:szCs w:val="20"/>
        </w:rPr>
        <w:t xml:space="preserve">, </w:t>
      </w:r>
      <w:r w:rsidR="00653299" w:rsidRPr="00C178C0">
        <w:rPr>
          <w:rFonts w:ascii="Myriad Pro" w:hAnsi="Myriad Pro" w:cstheme="minorHAnsi"/>
          <w:sz w:val="20"/>
          <w:szCs w:val="20"/>
        </w:rPr>
        <w:t>videoconferences</w:t>
      </w:r>
      <w:r w:rsidR="00ED24FB" w:rsidRPr="00C178C0">
        <w:rPr>
          <w:rFonts w:ascii="Myriad Pro" w:hAnsi="Myriad Pro" w:cstheme="minorHAnsi"/>
          <w:sz w:val="20"/>
          <w:szCs w:val="20"/>
        </w:rPr>
        <w:t xml:space="preserve"> (zoom, skype), slac</w:t>
      </w:r>
      <w:r w:rsidR="00BA06C3" w:rsidRPr="00C178C0">
        <w:rPr>
          <w:rFonts w:ascii="Myriad Pro" w:hAnsi="Myriad Pro" w:cstheme="minorHAnsi"/>
          <w:sz w:val="20"/>
          <w:szCs w:val="20"/>
        </w:rPr>
        <w:t>k</w:t>
      </w:r>
      <w:r w:rsidR="00ED24FB" w:rsidRPr="00C178C0">
        <w:rPr>
          <w:rFonts w:ascii="Myriad Pro" w:hAnsi="Myriad Pro" w:cstheme="minorHAnsi"/>
          <w:sz w:val="20"/>
          <w:szCs w:val="20"/>
        </w:rPr>
        <w:t>, etc</w:t>
      </w:r>
      <w:r w:rsidR="00653299" w:rsidRPr="00C178C0">
        <w:rPr>
          <w:rFonts w:ascii="Myriad Pro" w:hAnsi="Myriad Pro" w:cstheme="minorHAnsi"/>
          <w:sz w:val="20"/>
          <w:szCs w:val="20"/>
        </w:rPr>
        <w:t>.</w:t>
      </w:r>
      <w:r w:rsidR="00ED24FB" w:rsidRPr="00C178C0">
        <w:rPr>
          <w:rFonts w:ascii="Myriad Pro" w:hAnsi="Myriad Pro" w:cstheme="minorHAnsi"/>
          <w:sz w:val="20"/>
          <w:szCs w:val="20"/>
        </w:rPr>
        <w:t>;</w:t>
      </w:r>
    </w:p>
    <w:p w14:paraId="06DB3FE2" w14:textId="098A49D3" w:rsidR="00ED24FB" w:rsidRPr="00C178C0" w:rsidRDefault="00ED24FB" w:rsidP="0061145F">
      <w:pPr>
        <w:pStyle w:val="ListParagraph"/>
        <w:numPr>
          <w:ilvl w:val="0"/>
          <w:numId w:val="10"/>
        </w:numPr>
        <w:spacing w:after="0" w:line="240" w:lineRule="auto"/>
        <w:rPr>
          <w:rFonts w:ascii="Myriad Pro" w:hAnsi="Myriad Pro" w:cstheme="minorHAnsi"/>
          <w:sz w:val="20"/>
          <w:szCs w:val="20"/>
        </w:rPr>
      </w:pPr>
      <w:r w:rsidRPr="00C178C0">
        <w:rPr>
          <w:rFonts w:ascii="Myriad Pro" w:hAnsi="Myriad Pro" w:cstheme="minorHAnsi"/>
          <w:b/>
          <w:sz w:val="20"/>
          <w:szCs w:val="20"/>
        </w:rPr>
        <w:lastRenderedPageBreak/>
        <w:t xml:space="preserve">Availability to work full </w:t>
      </w:r>
      <w:r w:rsidR="00805335" w:rsidRPr="00C178C0">
        <w:rPr>
          <w:rFonts w:ascii="Myriad Pro" w:hAnsi="Myriad Pro" w:cstheme="minorHAnsi"/>
          <w:b/>
          <w:sz w:val="20"/>
          <w:szCs w:val="20"/>
        </w:rPr>
        <w:t xml:space="preserve">time on the IPC analysis for two </w:t>
      </w:r>
      <w:r w:rsidRPr="00C178C0">
        <w:rPr>
          <w:rFonts w:ascii="Myriad Pro" w:hAnsi="Myriad Pro" w:cstheme="minorHAnsi"/>
          <w:b/>
          <w:sz w:val="20"/>
          <w:szCs w:val="20"/>
        </w:rPr>
        <w:t>weeks</w:t>
      </w:r>
      <w:r w:rsidRPr="00C178C0">
        <w:rPr>
          <w:rFonts w:ascii="Myriad Pro" w:hAnsi="Myriad Pro" w:cstheme="minorHAnsi"/>
          <w:sz w:val="20"/>
          <w:szCs w:val="20"/>
        </w:rPr>
        <w:t xml:space="preserve"> (</w:t>
      </w:r>
      <w:r w:rsidR="00653299" w:rsidRPr="00C178C0">
        <w:rPr>
          <w:rFonts w:ascii="Myriad Pro" w:hAnsi="Myriad Pro" w:cstheme="minorHAnsi"/>
          <w:sz w:val="20"/>
          <w:szCs w:val="20"/>
        </w:rPr>
        <w:t xml:space="preserve">up to a </w:t>
      </w:r>
      <w:r w:rsidRPr="00C178C0">
        <w:rPr>
          <w:rFonts w:ascii="Myriad Pro" w:hAnsi="Myriad Pro" w:cstheme="minorHAnsi"/>
          <w:sz w:val="20"/>
          <w:szCs w:val="20"/>
        </w:rPr>
        <w:t>week of preparation and one week of analysis and validation processes).</w:t>
      </w:r>
    </w:p>
    <w:p w14:paraId="061713E5" w14:textId="77777777" w:rsidR="007B40BF" w:rsidRPr="00C178C0" w:rsidRDefault="007B40BF" w:rsidP="00BA06C3">
      <w:pPr>
        <w:spacing w:after="0" w:line="240" w:lineRule="auto"/>
        <w:ind w:left="0" w:right="48" w:firstLine="0"/>
        <w:rPr>
          <w:rFonts w:ascii="Myriad Pro" w:hAnsi="Myriad Pro"/>
          <w:lang w:val="en-GB"/>
        </w:rPr>
      </w:pPr>
    </w:p>
    <w:p w14:paraId="3E62EA18" w14:textId="76E62FC8" w:rsidR="000C0DBF" w:rsidRPr="00C178C0" w:rsidRDefault="005F55E2" w:rsidP="00BA06C3">
      <w:pPr>
        <w:numPr>
          <w:ilvl w:val="0"/>
          <w:numId w:val="4"/>
        </w:numPr>
        <w:spacing w:after="0" w:line="240" w:lineRule="auto"/>
        <w:ind w:right="48" w:hanging="360"/>
        <w:rPr>
          <w:rFonts w:ascii="Myriad Pro" w:hAnsi="Myriad Pro"/>
          <w:lang w:val="en-GB"/>
        </w:rPr>
      </w:pPr>
      <w:r w:rsidRPr="00C178C0">
        <w:rPr>
          <w:rFonts w:ascii="Myriad Pro" w:hAnsi="Myriad Pro"/>
          <w:b/>
          <w:lang w:val="en-GB"/>
        </w:rPr>
        <w:t xml:space="preserve">The larger Analysis Team: </w:t>
      </w:r>
      <w:r w:rsidRPr="00C178C0">
        <w:rPr>
          <w:rFonts w:ascii="Myriad Pro" w:hAnsi="Myriad Pro"/>
          <w:lang w:val="en-GB"/>
        </w:rPr>
        <w:t xml:space="preserve">This team will include all the IPC </w:t>
      </w:r>
      <w:r w:rsidR="00C975C9" w:rsidRPr="00C178C0">
        <w:rPr>
          <w:rFonts w:ascii="Myriad Pro" w:hAnsi="Myriad Pro"/>
          <w:lang w:val="en-GB"/>
        </w:rPr>
        <w:t xml:space="preserve">AMN </w:t>
      </w:r>
      <w:r w:rsidRPr="00C178C0">
        <w:rPr>
          <w:rFonts w:ascii="Myriad Pro" w:hAnsi="Myriad Pro"/>
          <w:lang w:val="en-GB"/>
        </w:rPr>
        <w:t xml:space="preserve">analysts who are usually involved in the country IPC </w:t>
      </w:r>
      <w:r w:rsidR="00C975C9" w:rsidRPr="00C178C0">
        <w:rPr>
          <w:rFonts w:ascii="Myriad Pro" w:hAnsi="Myriad Pro"/>
          <w:lang w:val="en-GB"/>
        </w:rPr>
        <w:t xml:space="preserve">AMN </w:t>
      </w:r>
      <w:r w:rsidRPr="00C178C0">
        <w:rPr>
          <w:rFonts w:ascii="Myriad Pro" w:hAnsi="Myriad Pro"/>
          <w:lang w:val="en-GB"/>
        </w:rPr>
        <w:t xml:space="preserve">analyses. Given that, to keep the process manageable and efficient, a restricted number of analysts (the core analysis team) will engage in all steps of the process, it is important that the ‘regular’ members of the IPC analysis team (usually ranging from </w:t>
      </w:r>
      <w:r w:rsidR="007B40BF" w:rsidRPr="00C178C0">
        <w:rPr>
          <w:rFonts w:ascii="Myriad Pro" w:hAnsi="Myriad Pro"/>
          <w:lang w:val="en-GB"/>
        </w:rPr>
        <w:t>30</w:t>
      </w:r>
      <w:r w:rsidRPr="00C178C0">
        <w:rPr>
          <w:rFonts w:ascii="Myriad Pro" w:hAnsi="Myriad Pro"/>
          <w:lang w:val="en-GB"/>
        </w:rPr>
        <w:t xml:space="preserve"> to </w:t>
      </w:r>
      <w:r w:rsidR="007B40BF" w:rsidRPr="00C178C0">
        <w:rPr>
          <w:rFonts w:ascii="Myriad Pro" w:hAnsi="Myriad Pro"/>
          <w:lang w:val="en-GB"/>
        </w:rPr>
        <w:t>40</w:t>
      </w:r>
      <w:r w:rsidRPr="00C178C0">
        <w:rPr>
          <w:rFonts w:ascii="Myriad Pro" w:hAnsi="Myriad Pro"/>
          <w:lang w:val="en-GB"/>
        </w:rPr>
        <w:t xml:space="preserve"> experts depending on the country) can contribute to and provide feedback on the IPC </w:t>
      </w:r>
      <w:r w:rsidR="008D7E9A" w:rsidRPr="00C178C0">
        <w:rPr>
          <w:rFonts w:ascii="Myriad Pro" w:hAnsi="Myriad Pro"/>
          <w:lang w:val="en-GB"/>
        </w:rPr>
        <w:t xml:space="preserve">AMN </w:t>
      </w:r>
      <w:r w:rsidRPr="00C178C0">
        <w:rPr>
          <w:rFonts w:ascii="Myriad Pro" w:hAnsi="Myriad Pro"/>
          <w:lang w:val="en-GB"/>
        </w:rPr>
        <w:t xml:space="preserve">analysis findings. The larger analysis team members will be consulted at specific stages of the analysis process. However, similar to the local context focal points, they will not be in charge of conducting the analysis. </w:t>
      </w:r>
    </w:p>
    <w:p w14:paraId="73BB7382" w14:textId="77777777" w:rsidR="000C0DBF" w:rsidRPr="00C178C0" w:rsidRDefault="005F55E2" w:rsidP="00BA06C3">
      <w:pPr>
        <w:spacing w:after="0" w:line="240" w:lineRule="auto"/>
        <w:ind w:left="540" w:right="0" w:firstLine="0"/>
        <w:rPr>
          <w:rFonts w:ascii="Myriad Pro" w:hAnsi="Myriad Pro"/>
          <w:lang w:val="en-GB"/>
        </w:rPr>
      </w:pPr>
      <w:r w:rsidRPr="00C178C0">
        <w:rPr>
          <w:rFonts w:ascii="Myriad Pro" w:hAnsi="Myriad Pro"/>
          <w:lang w:val="en-GB"/>
        </w:rPr>
        <w:t xml:space="preserve"> </w:t>
      </w:r>
    </w:p>
    <w:p w14:paraId="794B256E" w14:textId="77777777" w:rsidR="000C0DBF" w:rsidRPr="00C178C0" w:rsidRDefault="005F55E2" w:rsidP="00BA06C3">
      <w:pPr>
        <w:spacing w:after="0" w:line="240" w:lineRule="auto"/>
        <w:ind w:left="-5" w:right="48"/>
        <w:rPr>
          <w:rFonts w:ascii="Myriad Pro" w:hAnsi="Myriad Pro"/>
          <w:b/>
          <w:bCs/>
          <w:lang w:val="en-GB"/>
        </w:rPr>
      </w:pPr>
      <w:r w:rsidRPr="00C178C0">
        <w:rPr>
          <w:rFonts w:ascii="Myriad Pro" w:hAnsi="Myriad Pro"/>
          <w:b/>
          <w:bCs/>
          <w:lang w:val="en-GB"/>
        </w:rPr>
        <w:t xml:space="preserve">b) Process </w:t>
      </w:r>
    </w:p>
    <w:p w14:paraId="52E7D9AE" w14:textId="770A8EB9"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The IPC virtual analysis process will follow a four-stage approach: Planning, Preparation, Analysis and Wrap-up. For analyses with a high number of areas to </w:t>
      </w:r>
      <w:r w:rsidR="00395737" w:rsidRPr="00C178C0">
        <w:rPr>
          <w:rFonts w:ascii="Myriad Pro" w:hAnsi="Myriad Pro"/>
          <w:lang w:val="en-GB"/>
        </w:rPr>
        <w:t>analyse</w:t>
      </w:r>
      <w:r w:rsidRPr="00C178C0">
        <w:rPr>
          <w:rFonts w:ascii="Myriad Pro" w:hAnsi="Myriad Pro"/>
          <w:lang w:val="en-GB"/>
        </w:rPr>
        <w:t xml:space="preserve">, GSU may suggest ways to adapt the analysis process, tools and/or modality in order to enhance effectiveness. However, such measures will not affect compliance with IPC protocols and will ensure that IPC analysis requirements are met.  </w:t>
      </w:r>
    </w:p>
    <w:p w14:paraId="2396D7A2" w14:textId="77777777" w:rsidR="00386BAD" w:rsidRPr="00C178C0" w:rsidRDefault="00386BAD" w:rsidP="00BA06C3">
      <w:pPr>
        <w:spacing w:after="0" w:line="240" w:lineRule="auto"/>
        <w:ind w:left="-5" w:right="48"/>
        <w:rPr>
          <w:rFonts w:ascii="Myriad Pro" w:hAnsi="Myriad Pro"/>
          <w:lang w:val="en-GB"/>
        </w:rPr>
      </w:pPr>
    </w:p>
    <w:p w14:paraId="6CDB1925" w14:textId="78C1B4F9" w:rsidR="000C0DBF" w:rsidRPr="00C178C0" w:rsidRDefault="005F55E2" w:rsidP="00BA06C3">
      <w:pPr>
        <w:pStyle w:val="Heading2"/>
        <w:numPr>
          <w:ilvl w:val="0"/>
          <w:numId w:val="9"/>
        </w:numPr>
        <w:spacing w:after="0" w:line="240" w:lineRule="auto"/>
        <w:jc w:val="both"/>
        <w:rPr>
          <w:rFonts w:ascii="Myriad Pro" w:hAnsi="Myriad Pro"/>
          <w:i/>
          <w:iCs/>
          <w:lang w:val="en-GB"/>
        </w:rPr>
      </w:pPr>
      <w:r w:rsidRPr="00C178C0">
        <w:rPr>
          <w:rFonts w:ascii="Myriad Pro" w:hAnsi="Myriad Pro"/>
          <w:i/>
          <w:iCs/>
          <w:lang w:val="en-GB"/>
        </w:rPr>
        <w:t xml:space="preserve">Planning </w:t>
      </w:r>
    </w:p>
    <w:p w14:paraId="2C60A298" w14:textId="2D0E54BC"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The planning phase will entail communicating with country IPC </w:t>
      </w:r>
      <w:r w:rsidR="00115FD7" w:rsidRPr="00C178C0">
        <w:rPr>
          <w:rFonts w:ascii="Myriad Pro" w:hAnsi="Myriad Pro"/>
          <w:lang w:val="en-GB"/>
        </w:rPr>
        <w:t>TWG/Nutrition Cluster</w:t>
      </w:r>
      <w:r w:rsidRPr="00C178C0">
        <w:rPr>
          <w:rFonts w:ascii="Myriad Pro" w:hAnsi="Myriad Pro"/>
          <w:lang w:val="en-GB"/>
        </w:rPr>
        <w:t xml:space="preserve"> and other relevant country and regional stakeholders about the </w:t>
      </w:r>
      <w:r w:rsidR="007E659B" w:rsidRPr="00C178C0">
        <w:rPr>
          <w:rFonts w:ascii="Myriad Pro" w:hAnsi="Myriad Pro"/>
          <w:lang w:val="en-GB"/>
        </w:rPr>
        <w:t>virtual analysis</w:t>
      </w:r>
      <w:r w:rsidRPr="00C178C0">
        <w:rPr>
          <w:rFonts w:ascii="Myriad Pro" w:hAnsi="Myriad Pro"/>
          <w:lang w:val="en-GB"/>
        </w:rPr>
        <w:t xml:space="preserve">. For countries that wish to implement virtual IPC </w:t>
      </w:r>
      <w:r w:rsidR="00395737" w:rsidRPr="00C178C0">
        <w:rPr>
          <w:rFonts w:ascii="Myriad Pro" w:hAnsi="Myriad Pro"/>
          <w:lang w:val="en-GB"/>
        </w:rPr>
        <w:t xml:space="preserve">AMN </w:t>
      </w:r>
      <w:r w:rsidRPr="00C178C0">
        <w:rPr>
          <w:rFonts w:ascii="Myriad Pro" w:hAnsi="Myriad Pro"/>
          <w:lang w:val="en-GB"/>
        </w:rPr>
        <w:t>analysis, modalities, participation criteria</w:t>
      </w:r>
      <w:r w:rsidR="007E659B" w:rsidRPr="00C178C0">
        <w:rPr>
          <w:rFonts w:ascii="Myriad Pro" w:hAnsi="Myriad Pro"/>
          <w:lang w:val="en-GB"/>
        </w:rPr>
        <w:t>,</w:t>
      </w:r>
      <w:r w:rsidRPr="00C178C0">
        <w:rPr>
          <w:rFonts w:ascii="Myriad Pro" w:hAnsi="Myriad Pro"/>
          <w:lang w:val="en-GB"/>
        </w:rPr>
        <w:t xml:space="preserve"> and support from the GSU will be discussed and a timeline for activities will be developed.</w:t>
      </w:r>
    </w:p>
    <w:p w14:paraId="124A6854" w14:textId="77777777" w:rsidR="00403B3A" w:rsidRPr="00C178C0" w:rsidRDefault="00403B3A" w:rsidP="00BA06C3">
      <w:pPr>
        <w:spacing w:after="0" w:line="240" w:lineRule="auto"/>
        <w:ind w:left="-5" w:right="48"/>
        <w:rPr>
          <w:rFonts w:ascii="Myriad Pro" w:hAnsi="Myriad Pro"/>
          <w:lang w:val="en-GB"/>
        </w:rPr>
      </w:pPr>
    </w:p>
    <w:p w14:paraId="4B912074" w14:textId="7AC6A550"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The duration of the planning phase will depend on the context/country as well as the urgency to conduct an IPC </w:t>
      </w:r>
      <w:r w:rsidR="009150BE" w:rsidRPr="00C178C0">
        <w:rPr>
          <w:rFonts w:ascii="Myriad Pro" w:hAnsi="Myriad Pro"/>
          <w:lang w:val="en-GB"/>
        </w:rPr>
        <w:t xml:space="preserve">AMN </w:t>
      </w:r>
      <w:r w:rsidRPr="00C178C0">
        <w:rPr>
          <w:rFonts w:ascii="Myriad Pro" w:hAnsi="Myriad Pro"/>
          <w:lang w:val="en-GB"/>
        </w:rPr>
        <w:t>analysis (e.g. based on deadlines for decision-making, date of data collection</w:t>
      </w:r>
      <w:r w:rsidR="00403B3A" w:rsidRPr="00C178C0">
        <w:rPr>
          <w:rFonts w:ascii="Myriad Pro" w:hAnsi="Myriad Pro"/>
          <w:lang w:val="en-GB"/>
        </w:rPr>
        <w:t>,</w:t>
      </w:r>
      <w:r w:rsidRPr="00C178C0">
        <w:rPr>
          <w:rFonts w:ascii="Myriad Pro" w:hAnsi="Myriad Pro"/>
          <w:lang w:val="en-GB"/>
        </w:rPr>
        <w:t xml:space="preserve"> etc.).</w:t>
      </w:r>
    </w:p>
    <w:p w14:paraId="538535BB" w14:textId="77777777" w:rsidR="00E13EA2" w:rsidRPr="00C178C0" w:rsidRDefault="00E13EA2" w:rsidP="00BA06C3">
      <w:pPr>
        <w:spacing w:after="0" w:line="240" w:lineRule="auto"/>
        <w:ind w:left="-5" w:right="48"/>
        <w:rPr>
          <w:rFonts w:ascii="Myriad Pro" w:hAnsi="Myriad Pro"/>
          <w:lang w:val="en-GB"/>
        </w:rPr>
      </w:pPr>
    </w:p>
    <w:p w14:paraId="1996D5FD" w14:textId="6E72375E" w:rsidR="000C0DBF" w:rsidRPr="00C178C0" w:rsidRDefault="005F55E2" w:rsidP="00BA06C3">
      <w:pPr>
        <w:pStyle w:val="Heading2"/>
        <w:numPr>
          <w:ilvl w:val="0"/>
          <w:numId w:val="9"/>
        </w:numPr>
        <w:spacing w:after="0" w:line="240" w:lineRule="auto"/>
        <w:jc w:val="both"/>
        <w:rPr>
          <w:rFonts w:ascii="Myriad Pro" w:hAnsi="Myriad Pro"/>
          <w:i/>
          <w:iCs/>
          <w:lang w:val="en-GB"/>
        </w:rPr>
      </w:pPr>
      <w:r w:rsidRPr="00C178C0">
        <w:rPr>
          <w:rFonts w:ascii="Myriad Pro" w:hAnsi="Myriad Pro"/>
          <w:i/>
          <w:iCs/>
          <w:lang w:val="en-GB"/>
        </w:rPr>
        <w:t>Preparation</w:t>
      </w:r>
      <w:r w:rsidR="00170B6E" w:rsidRPr="00C178C0">
        <w:rPr>
          <w:rFonts w:ascii="Myriad Pro" w:hAnsi="Myriad Pro"/>
          <w:i/>
          <w:iCs/>
          <w:lang w:val="en-GB"/>
        </w:rPr>
        <w:t xml:space="preserve"> (up to one week)</w:t>
      </w:r>
    </w:p>
    <w:p w14:paraId="4A9C0834" w14:textId="77777777"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The preparation phase </w:t>
      </w:r>
      <w:r w:rsidR="002E116F" w:rsidRPr="00C178C0">
        <w:rPr>
          <w:rFonts w:ascii="Myriad Pro" w:hAnsi="Myriad Pro"/>
          <w:lang w:val="en-GB"/>
        </w:rPr>
        <w:t>may</w:t>
      </w:r>
      <w:r w:rsidRPr="00C178C0">
        <w:rPr>
          <w:rFonts w:ascii="Myriad Pro" w:hAnsi="Myriad Pro"/>
          <w:lang w:val="en-GB"/>
        </w:rPr>
        <w:t xml:space="preserve"> last </w:t>
      </w:r>
      <w:r w:rsidR="002E116F" w:rsidRPr="00C178C0">
        <w:rPr>
          <w:rFonts w:ascii="Myriad Pro" w:hAnsi="Myriad Pro"/>
          <w:lang w:val="en-GB"/>
        </w:rPr>
        <w:t xml:space="preserve">up to </w:t>
      </w:r>
      <w:r w:rsidRPr="00C178C0">
        <w:rPr>
          <w:rFonts w:ascii="Myriad Pro" w:hAnsi="Myriad Pro"/>
          <w:lang w:val="en-GB"/>
        </w:rPr>
        <w:t xml:space="preserve">one week and </w:t>
      </w:r>
      <w:r w:rsidR="002E116F" w:rsidRPr="00C178C0">
        <w:rPr>
          <w:rFonts w:ascii="Myriad Pro" w:hAnsi="Myriad Pro"/>
          <w:lang w:val="en-GB"/>
        </w:rPr>
        <w:t xml:space="preserve">will </w:t>
      </w:r>
      <w:r w:rsidRPr="00C178C0">
        <w:rPr>
          <w:rFonts w:ascii="Myriad Pro" w:hAnsi="Myriad Pro"/>
          <w:lang w:val="en-GB"/>
        </w:rPr>
        <w:t xml:space="preserve">entail activities that are similar to the preparation of a “regular” (face-to-face) IPC analysis, namely: </w:t>
      </w:r>
    </w:p>
    <w:p w14:paraId="0AC62ECA" w14:textId="326381B3" w:rsidR="00B229D8" w:rsidRPr="00C178C0" w:rsidRDefault="00B229D8" w:rsidP="00214F8C">
      <w:pPr>
        <w:pStyle w:val="ListParagraph"/>
        <w:numPr>
          <w:ilvl w:val="0"/>
          <w:numId w:val="13"/>
        </w:numPr>
        <w:spacing w:after="0" w:line="240" w:lineRule="auto"/>
        <w:ind w:right="48"/>
        <w:rPr>
          <w:rFonts w:ascii="Myriad Pro" w:hAnsi="Myriad Pro"/>
          <w:lang w:val="en-GB"/>
        </w:rPr>
      </w:pPr>
      <w:r w:rsidRPr="00C178C0">
        <w:rPr>
          <w:rFonts w:ascii="Myriad Pro" w:hAnsi="Myriad Pro"/>
          <w:lang w:val="en-GB"/>
        </w:rPr>
        <w:t xml:space="preserve">Data availability based on the reliability criteria in IPC </w:t>
      </w:r>
      <w:r w:rsidR="00EF765B" w:rsidRPr="00C178C0">
        <w:rPr>
          <w:rFonts w:ascii="Myriad Pro" w:hAnsi="Myriad Pro"/>
          <w:lang w:val="en-GB"/>
        </w:rPr>
        <w:t>Technical Manual v</w:t>
      </w:r>
      <w:r w:rsidRPr="00C178C0">
        <w:rPr>
          <w:rFonts w:ascii="Myriad Pro" w:hAnsi="Myriad Pro"/>
          <w:lang w:val="en-GB"/>
        </w:rPr>
        <w:t>ersion 3</w:t>
      </w:r>
      <w:r w:rsidR="00EF765B" w:rsidRPr="00C178C0">
        <w:rPr>
          <w:rFonts w:ascii="Myriad Pro" w:hAnsi="Myriad Pro"/>
          <w:lang w:val="en-GB"/>
        </w:rPr>
        <w:t>.0</w:t>
      </w:r>
      <w:r w:rsidR="00D50828" w:rsidRPr="00C178C0">
        <w:rPr>
          <w:rFonts w:ascii="Myriad Pro" w:hAnsi="Myriad Pro"/>
          <w:lang w:val="en-GB"/>
        </w:rPr>
        <w:t xml:space="preserve"> (see annex for details)</w:t>
      </w:r>
    </w:p>
    <w:p w14:paraId="39129482" w14:textId="50EAF4CF" w:rsidR="00B229D8" w:rsidRPr="00C178C0" w:rsidRDefault="00B229D8" w:rsidP="00214F8C">
      <w:pPr>
        <w:pStyle w:val="ListParagraph"/>
        <w:numPr>
          <w:ilvl w:val="0"/>
          <w:numId w:val="13"/>
        </w:numPr>
        <w:spacing w:after="0" w:line="240" w:lineRule="auto"/>
        <w:ind w:right="48"/>
        <w:rPr>
          <w:rFonts w:ascii="Myriad Pro" w:hAnsi="Myriad Pro"/>
          <w:lang w:val="en-GB"/>
        </w:rPr>
      </w:pPr>
      <w:r w:rsidRPr="00C178C0">
        <w:rPr>
          <w:rFonts w:ascii="Myriad Pro" w:hAnsi="Myriad Pro"/>
          <w:lang w:val="en-GB"/>
        </w:rPr>
        <w:t xml:space="preserve">Agreement </w:t>
      </w:r>
      <w:r w:rsidR="00E43277" w:rsidRPr="00C178C0">
        <w:rPr>
          <w:rFonts w:ascii="Myriad Pro" w:hAnsi="Myriad Pro"/>
          <w:lang w:val="en-GB"/>
        </w:rPr>
        <w:t>with</w:t>
      </w:r>
      <w:r w:rsidRPr="00C178C0">
        <w:rPr>
          <w:rFonts w:ascii="Myriad Pro" w:hAnsi="Myriad Pro"/>
          <w:lang w:val="en-GB"/>
        </w:rPr>
        <w:t xml:space="preserve"> the </w:t>
      </w:r>
      <w:r w:rsidR="00E43277" w:rsidRPr="00C178C0">
        <w:rPr>
          <w:rFonts w:ascii="Myriad Pro" w:hAnsi="Myriad Pro"/>
          <w:lang w:val="en-GB"/>
        </w:rPr>
        <w:t xml:space="preserve">MOH and </w:t>
      </w:r>
      <w:r w:rsidRPr="00C178C0">
        <w:rPr>
          <w:rFonts w:ascii="Myriad Pro" w:hAnsi="Myriad Pro"/>
          <w:lang w:val="en-GB"/>
        </w:rPr>
        <w:t>nutrition cluster</w:t>
      </w:r>
      <w:r w:rsidR="005448B5" w:rsidRPr="00C178C0">
        <w:rPr>
          <w:rFonts w:ascii="Myriad Pro" w:hAnsi="Myriad Pro"/>
          <w:lang w:val="en-GB"/>
        </w:rPr>
        <w:t xml:space="preserve"> to carry out the analysis</w:t>
      </w:r>
      <w:r w:rsidR="00650B6C" w:rsidRPr="00C178C0">
        <w:rPr>
          <w:rFonts w:ascii="Myriad Pro" w:hAnsi="Myriad Pro"/>
          <w:lang w:val="en-GB"/>
        </w:rPr>
        <w:t>/</w:t>
      </w:r>
      <w:r w:rsidR="005448B5" w:rsidRPr="00C178C0">
        <w:rPr>
          <w:rFonts w:ascii="Myriad Pro" w:hAnsi="Myriad Pro"/>
          <w:lang w:val="en-GB"/>
        </w:rPr>
        <w:t>update</w:t>
      </w:r>
    </w:p>
    <w:p w14:paraId="5EF37CB2" w14:textId="0907C967" w:rsidR="000C0DBF" w:rsidRPr="00C178C0" w:rsidRDefault="005F55E2" w:rsidP="00214F8C">
      <w:pPr>
        <w:pStyle w:val="ListParagraph"/>
        <w:numPr>
          <w:ilvl w:val="0"/>
          <w:numId w:val="13"/>
        </w:numPr>
        <w:spacing w:after="0" w:line="240" w:lineRule="auto"/>
        <w:ind w:right="48"/>
        <w:rPr>
          <w:rFonts w:ascii="Myriad Pro" w:hAnsi="Myriad Pro"/>
          <w:lang w:val="en-GB"/>
        </w:rPr>
      </w:pPr>
      <w:r w:rsidRPr="00C178C0">
        <w:rPr>
          <w:rFonts w:ascii="Myriad Pro" w:hAnsi="Myriad Pro"/>
          <w:lang w:val="en-GB"/>
        </w:rPr>
        <w:t xml:space="preserve">Defining the analysis team composition, i.e. identification of the experts that compose the </w:t>
      </w:r>
      <w:r w:rsidR="002E116F" w:rsidRPr="00C178C0">
        <w:rPr>
          <w:rFonts w:ascii="Myriad Pro" w:hAnsi="Myriad Pro"/>
          <w:lang w:val="en-GB"/>
        </w:rPr>
        <w:t>different</w:t>
      </w:r>
      <w:r w:rsidRPr="00C178C0">
        <w:rPr>
          <w:rFonts w:ascii="Myriad Pro" w:hAnsi="Myriad Pro"/>
          <w:lang w:val="en-GB"/>
        </w:rPr>
        <w:t xml:space="preserve"> groups mentioned above. This </w:t>
      </w:r>
      <w:r w:rsidR="002E116F" w:rsidRPr="00C178C0">
        <w:rPr>
          <w:rFonts w:ascii="Myriad Pro" w:hAnsi="Myriad Pro"/>
          <w:lang w:val="en-GB"/>
        </w:rPr>
        <w:t>will be</w:t>
      </w:r>
      <w:r w:rsidRPr="00C178C0">
        <w:rPr>
          <w:rFonts w:ascii="Myriad Pro" w:hAnsi="Myriad Pro"/>
          <w:lang w:val="en-GB"/>
        </w:rPr>
        <w:t xml:space="preserve"> documented in the IPC analysis team matrix. </w:t>
      </w:r>
    </w:p>
    <w:p w14:paraId="3E038F48" w14:textId="77777777" w:rsidR="000C0DBF" w:rsidRPr="00C178C0" w:rsidRDefault="005F55E2" w:rsidP="00214F8C">
      <w:pPr>
        <w:pStyle w:val="ListParagraph"/>
        <w:numPr>
          <w:ilvl w:val="0"/>
          <w:numId w:val="13"/>
        </w:numPr>
        <w:spacing w:after="0" w:line="240" w:lineRule="auto"/>
        <w:ind w:right="48"/>
        <w:rPr>
          <w:rFonts w:ascii="Myriad Pro" w:hAnsi="Myriad Pro"/>
          <w:lang w:val="en-GB"/>
        </w:rPr>
      </w:pPr>
      <w:r w:rsidRPr="00C178C0">
        <w:rPr>
          <w:rFonts w:ascii="Myriad Pro" w:hAnsi="Myriad Pro"/>
          <w:lang w:val="en-GB"/>
        </w:rPr>
        <w:t xml:space="preserve">Assigning roles to analysts and co-facilitators for specific areas of analysis.   </w:t>
      </w:r>
    </w:p>
    <w:p w14:paraId="299C9619" w14:textId="77777777" w:rsidR="000C0DBF" w:rsidRPr="00C178C0" w:rsidRDefault="005F55E2" w:rsidP="00214F8C">
      <w:pPr>
        <w:pStyle w:val="ListParagraph"/>
        <w:numPr>
          <w:ilvl w:val="0"/>
          <w:numId w:val="13"/>
        </w:numPr>
        <w:spacing w:after="0" w:line="240" w:lineRule="auto"/>
        <w:ind w:right="48"/>
        <w:rPr>
          <w:rFonts w:ascii="Myriad Pro" w:hAnsi="Myriad Pro"/>
          <w:lang w:val="en-GB"/>
        </w:rPr>
      </w:pPr>
      <w:r w:rsidRPr="00C178C0">
        <w:rPr>
          <w:rFonts w:ascii="Myriad Pro" w:hAnsi="Myriad Pro"/>
          <w:lang w:val="en-GB"/>
        </w:rPr>
        <w:t xml:space="preserve">Putting IPC analysts in contact with their respective co-facilitators and lead facilitator. </w:t>
      </w:r>
    </w:p>
    <w:p w14:paraId="773707DC" w14:textId="77777777" w:rsidR="000C0DBF" w:rsidRPr="00C178C0" w:rsidRDefault="005F55E2" w:rsidP="00214F8C">
      <w:pPr>
        <w:pStyle w:val="ListParagraph"/>
        <w:numPr>
          <w:ilvl w:val="0"/>
          <w:numId w:val="13"/>
        </w:numPr>
        <w:spacing w:after="0" w:line="240" w:lineRule="auto"/>
        <w:ind w:right="48"/>
        <w:rPr>
          <w:rFonts w:ascii="Myriad Pro" w:hAnsi="Myriad Pro"/>
          <w:lang w:val="en-GB"/>
        </w:rPr>
      </w:pPr>
      <w:r w:rsidRPr="00C178C0">
        <w:rPr>
          <w:rFonts w:ascii="Myriad Pro" w:hAnsi="Myriad Pro"/>
          <w:lang w:val="en-GB"/>
        </w:rPr>
        <w:t>Identifying analysis parameters and developing the detailed agenda for the virtual analysis.</w:t>
      </w:r>
      <w:r w:rsidRPr="00C178C0">
        <w:rPr>
          <w:rFonts w:ascii="Myriad Pro" w:hAnsi="Myriad Pro"/>
          <w:b/>
          <w:lang w:val="en-GB"/>
        </w:rPr>
        <w:t xml:space="preserve"> </w:t>
      </w:r>
      <w:r w:rsidRPr="00C178C0">
        <w:rPr>
          <w:rFonts w:ascii="Myriad Pro" w:hAnsi="Myriad Pro"/>
          <w:lang w:val="en-GB"/>
        </w:rPr>
        <w:t xml:space="preserve">  </w:t>
      </w:r>
    </w:p>
    <w:p w14:paraId="15356767" w14:textId="6AC03CF3" w:rsidR="00170B6E" w:rsidRPr="00C178C0" w:rsidRDefault="00170B6E" w:rsidP="00214F8C">
      <w:pPr>
        <w:pStyle w:val="ListParagraph"/>
        <w:numPr>
          <w:ilvl w:val="0"/>
          <w:numId w:val="13"/>
        </w:numPr>
        <w:spacing w:after="0" w:line="240" w:lineRule="auto"/>
        <w:ind w:right="48"/>
        <w:rPr>
          <w:rFonts w:ascii="Myriad Pro" w:hAnsi="Myriad Pro"/>
          <w:lang w:val="en-GB"/>
        </w:rPr>
      </w:pPr>
      <w:r w:rsidRPr="00C178C0">
        <w:rPr>
          <w:rFonts w:ascii="Myriad Pro" w:hAnsi="Myriad Pro"/>
          <w:lang w:val="en-GB"/>
        </w:rPr>
        <w:t>Putting together</w:t>
      </w:r>
      <w:r w:rsidR="005F55E2" w:rsidRPr="00C178C0">
        <w:rPr>
          <w:rFonts w:ascii="Myriad Pro" w:hAnsi="Myriad Pro"/>
          <w:lang w:val="en-GB"/>
        </w:rPr>
        <w:t xml:space="preserve"> the </w:t>
      </w:r>
      <w:r w:rsidRPr="00C178C0">
        <w:rPr>
          <w:rFonts w:ascii="Myriad Pro" w:hAnsi="Myriad Pro"/>
          <w:lang w:val="en-GB"/>
        </w:rPr>
        <w:t xml:space="preserve">data required for the </w:t>
      </w:r>
      <w:r w:rsidR="005F55E2" w:rsidRPr="00C178C0">
        <w:rPr>
          <w:rFonts w:ascii="Myriad Pro" w:hAnsi="Myriad Pro"/>
          <w:lang w:val="en-GB"/>
        </w:rPr>
        <w:t>analysi</w:t>
      </w:r>
      <w:r w:rsidRPr="00C178C0">
        <w:rPr>
          <w:rFonts w:ascii="Myriad Pro" w:hAnsi="Myriad Pro"/>
          <w:lang w:val="en-GB"/>
        </w:rPr>
        <w:t>s</w:t>
      </w:r>
    </w:p>
    <w:p w14:paraId="6BEF320E" w14:textId="366FFBC4" w:rsidR="00EB2EBC" w:rsidRPr="00C178C0" w:rsidRDefault="00EB2EBC" w:rsidP="00214F8C">
      <w:pPr>
        <w:pStyle w:val="ListParagraph"/>
        <w:numPr>
          <w:ilvl w:val="0"/>
          <w:numId w:val="13"/>
        </w:numPr>
        <w:spacing w:after="0" w:line="240" w:lineRule="auto"/>
        <w:ind w:right="48"/>
        <w:rPr>
          <w:rFonts w:ascii="Myriad Pro" w:hAnsi="Myriad Pro"/>
          <w:lang w:val="en-GB"/>
        </w:rPr>
      </w:pPr>
      <w:r w:rsidRPr="00C178C0">
        <w:rPr>
          <w:rFonts w:ascii="Myriad Pro" w:hAnsi="Myriad Pro"/>
          <w:lang w:val="en-GB"/>
        </w:rPr>
        <w:t>Preparation of the IPC AMN products dissemination plan</w:t>
      </w:r>
    </w:p>
    <w:p w14:paraId="3CCCA439" w14:textId="77777777" w:rsidR="000C0DBF" w:rsidRPr="00C178C0" w:rsidRDefault="005F55E2" w:rsidP="00BA06C3">
      <w:pPr>
        <w:spacing w:after="0" w:line="240" w:lineRule="auto"/>
        <w:ind w:right="48"/>
        <w:rPr>
          <w:rFonts w:ascii="Myriad Pro" w:hAnsi="Myriad Pro"/>
          <w:lang w:val="en-GB"/>
        </w:rPr>
      </w:pPr>
      <w:r w:rsidRPr="00C178C0">
        <w:rPr>
          <w:rFonts w:ascii="Myriad Pro" w:hAnsi="Myriad Pro"/>
          <w:sz w:val="24"/>
          <w:lang w:val="en-GB"/>
        </w:rPr>
        <w:lastRenderedPageBreak/>
        <w:t xml:space="preserve"> </w:t>
      </w:r>
    </w:p>
    <w:p w14:paraId="11C4F554" w14:textId="6DB4328C" w:rsidR="000C0DBF" w:rsidRPr="00C178C0" w:rsidRDefault="005F55E2" w:rsidP="00BA06C3">
      <w:pPr>
        <w:pStyle w:val="Heading2"/>
        <w:numPr>
          <w:ilvl w:val="0"/>
          <w:numId w:val="9"/>
        </w:numPr>
        <w:spacing w:after="0" w:line="240" w:lineRule="auto"/>
        <w:jc w:val="both"/>
        <w:rPr>
          <w:rFonts w:ascii="Myriad Pro" w:hAnsi="Myriad Pro"/>
          <w:i/>
          <w:iCs/>
          <w:lang w:val="en-GB"/>
        </w:rPr>
      </w:pPr>
      <w:r w:rsidRPr="00C178C0">
        <w:rPr>
          <w:rFonts w:ascii="Myriad Pro" w:hAnsi="Myriad Pro"/>
          <w:i/>
          <w:iCs/>
          <w:lang w:val="en-GB"/>
        </w:rPr>
        <w:t>Analysis (one week)</w:t>
      </w:r>
    </w:p>
    <w:p w14:paraId="4C044A18" w14:textId="4B6E8548"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The second week is fully dedicated to the analysis and includes the following stages: </w:t>
      </w:r>
    </w:p>
    <w:p w14:paraId="5B9B457F" w14:textId="69FBE58F" w:rsidR="000C0DBF" w:rsidRPr="00C178C0" w:rsidRDefault="005F55E2" w:rsidP="005B3F74">
      <w:pPr>
        <w:pStyle w:val="ListParagraph"/>
        <w:numPr>
          <w:ilvl w:val="0"/>
          <w:numId w:val="14"/>
        </w:numPr>
        <w:spacing w:after="0" w:line="240" w:lineRule="auto"/>
        <w:ind w:right="48"/>
        <w:rPr>
          <w:rFonts w:ascii="Myriad Pro" w:hAnsi="Myriad Pro"/>
          <w:lang w:val="en-GB"/>
        </w:rPr>
      </w:pPr>
      <w:r w:rsidRPr="00C178C0">
        <w:rPr>
          <w:rFonts w:ascii="Myriad Pro" w:hAnsi="Myriad Pro"/>
          <w:lang w:val="en-GB"/>
        </w:rPr>
        <w:t xml:space="preserve">Holding the inception meeting of the core analysis team to discuss analysis parameters, agenda and milestones, key drivers and broad projection assumptions at the country level. </w:t>
      </w:r>
    </w:p>
    <w:p w14:paraId="6EC5FD9D" w14:textId="77777777" w:rsidR="000C0DBF" w:rsidRPr="00C178C0" w:rsidRDefault="005F55E2" w:rsidP="005B3F74">
      <w:pPr>
        <w:pStyle w:val="ListParagraph"/>
        <w:numPr>
          <w:ilvl w:val="0"/>
          <w:numId w:val="14"/>
        </w:numPr>
        <w:spacing w:after="0" w:line="240" w:lineRule="auto"/>
        <w:ind w:right="48"/>
        <w:rPr>
          <w:rFonts w:ascii="Myriad Pro" w:hAnsi="Myriad Pro"/>
          <w:lang w:val="en-GB"/>
        </w:rPr>
      </w:pPr>
      <w:r w:rsidRPr="00C178C0">
        <w:rPr>
          <w:rFonts w:ascii="Myriad Pro" w:hAnsi="Myriad Pro"/>
          <w:lang w:val="en-GB"/>
        </w:rPr>
        <w:t xml:space="preserve">Starting area analysis </w:t>
      </w:r>
      <w:r w:rsidR="009D3389" w:rsidRPr="00C178C0">
        <w:rPr>
          <w:rFonts w:ascii="Myriad Pro" w:hAnsi="Myriad Pro"/>
          <w:lang w:val="en-GB"/>
        </w:rPr>
        <w:t>and</w:t>
      </w:r>
      <w:r w:rsidRPr="00C178C0">
        <w:rPr>
          <w:rFonts w:ascii="Myriad Pro" w:hAnsi="Myriad Pro"/>
          <w:lang w:val="en-GB"/>
        </w:rPr>
        <w:t xml:space="preserve"> completing the analysis worksheets.  </w:t>
      </w:r>
    </w:p>
    <w:p w14:paraId="3C9F6021" w14:textId="77777777" w:rsidR="000C0DBF" w:rsidRPr="00C178C0" w:rsidRDefault="005F55E2" w:rsidP="005B3F74">
      <w:pPr>
        <w:pStyle w:val="ListParagraph"/>
        <w:numPr>
          <w:ilvl w:val="0"/>
          <w:numId w:val="14"/>
        </w:numPr>
        <w:spacing w:after="0" w:line="240" w:lineRule="auto"/>
        <w:ind w:right="48"/>
        <w:rPr>
          <w:rFonts w:ascii="Myriad Pro" w:hAnsi="Myriad Pro"/>
          <w:lang w:val="en-GB"/>
        </w:rPr>
      </w:pPr>
      <w:r w:rsidRPr="00C178C0">
        <w:rPr>
          <w:rFonts w:ascii="Myriad Pro" w:hAnsi="Myriad Pro"/>
          <w:lang w:val="en-GB"/>
        </w:rPr>
        <w:t>Holding daily facilitators’ meetings throughout the week. This is an opportunity for facilitators to share and discuss main concerns and technical challenges faced.</w:t>
      </w:r>
    </w:p>
    <w:p w14:paraId="4937A1A3" w14:textId="77777777" w:rsidR="000C0DBF" w:rsidRPr="00C178C0" w:rsidRDefault="005F55E2" w:rsidP="005B3F74">
      <w:pPr>
        <w:pStyle w:val="ListParagraph"/>
        <w:numPr>
          <w:ilvl w:val="0"/>
          <w:numId w:val="14"/>
        </w:numPr>
        <w:spacing w:after="0" w:line="240" w:lineRule="auto"/>
        <w:ind w:right="48"/>
        <w:rPr>
          <w:rFonts w:ascii="Myriad Pro" w:hAnsi="Myriad Pro"/>
          <w:lang w:val="en-GB"/>
        </w:rPr>
      </w:pPr>
      <w:r w:rsidRPr="00C178C0">
        <w:rPr>
          <w:rFonts w:ascii="Myriad Pro" w:hAnsi="Myriad Pro"/>
          <w:lang w:val="en-GB"/>
        </w:rPr>
        <w:t xml:space="preserve">Holding small group vetting sessions for the areas analysed by each group. Consensus </w:t>
      </w:r>
      <w:proofErr w:type="gramStart"/>
      <w:r w:rsidRPr="00C178C0">
        <w:rPr>
          <w:rFonts w:ascii="Myriad Pro" w:hAnsi="Myriad Pro"/>
          <w:lang w:val="en-GB"/>
        </w:rPr>
        <w:t>has to</w:t>
      </w:r>
      <w:proofErr w:type="gramEnd"/>
      <w:r w:rsidRPr="00C178C0">
        <w:rPr>
          <w:rFonts w:ascii="Myriad Pro" w:hAnsi="Myriad Pro"/>
          <w:lang w:val="en-GB"/>
        </w:rPr>
        <w:t xml:space="preserve"> be reached within the group and minority views and concerns are documented so they can later on be reported to the wider group in the plenary session.  </w:t>
      </w:r>
    </w:p>
    <w:p w14:paraId="7640C746" w14:textId="77777777" w:rsidR="000C0DBF" w:rsidRPr="00C178C0" w:rsidRDefault="005F55E2" w:rsidP="005B3F74">
      <w:pPr>
        <w:pStyle w:val="ListParagraph"/>
        <w:numPr>
          <w:ilvl w:val="0"/>
          <w:numId w:val="14"/>
        </w:numPr>
        <w:spacing w:after="0" w:line="240" w:lineRule="auto"/>
        <w:ind w:right="48"/>
        <w:rPr>
          <w:rFonts w:ascii="Myriad Pro" w:hAnsi="Myriad Pro"/>
          <w:lang w:val="en-GB"/>
        </w:rPr>
      </w:pPr>
      <w:r w:rsidRPr="00C178C0">
        <w:rPr>
          <w:rFonts w:ascii="Myriad Pro" w:hAnsi="Myriad Pro"/>
          <w:lang w:val="en-GB"/>
        </w:rPr>
        <w:t xml:space="preserve">Holding a core analysis team vetting meeting, led by GSU, with all core analysis team members and facilitators. Facilitators present the results of their groups’ work. Questions and concerns are raised and </w:t>
      </w:r>
      <w:proofErr w:type="gramStart"/>
      <w:r w:rsidRPr="00C178C0">
        <w:rPr>
          <w:rFonts w:ascii="Myriad Pro" w:hAnsi="Myriad Pro"/>
          <w:lang w:val="en-GB"/>
        </w:rPr>
        <w:t>documented</w:t>
      </w:r>
      <w:proofErr w:type="gramEnd"/>
      <w:r w:rsidRPr="00C178C0">
        <w:rPr>
          <w:rFonts w:ascii="Myriad Pro" w:hAnsi="Myriad Pro"/>
          <w:lang w:val="en-GB"/>
        </w:rPr>
        <w:t xml:space="preserve"> and core team members reach consensus over the final area</w:t>
      </w:r>
      <w:r w:rsidR="00A013B4" w:rsidRPr="00C178C0">
        <w:rPr>
          <w:rFonts w:ascii="Myriad Pro" w:hAnsi="Myriad Pro"/>
          <w:lang w:val="en-GB"/>
        </w:rPr>
        <w:t xml:space="preserve"> </w:t>
      </w:r>
      <w:r w:rsidRPr="00C178C0">
        <w:rPr>
          <w:rFonts w:ascii="Myriad Pro" w:hAnsi="Myriad Pro"/>
          <w:lang w:val="en-GB"/>
        </w:rPr>
        <w:t xml:space="preserve">classifications. Based on the issues raised, the analysis of specific areas is </w:t>
      </w:r>
      <w:r w:rsidR="00A013B4" w:rsidRPr="00C178C0">
        <w:rPr>
          <w:rFonts w:ascii="Myriad Pro" w:hAnsi="Myriad Pro"/>
          <w:lang w:val="en-GB"/>
        </w:rPr>
        <w:t>revised,</w:t>
      </w:r>
      <w:r w:rsidRPr="00C178C0">
        <w:rPr>
          <w:rFonts w:ascii="Myriad Pro" w:hAnsi="Myriad Pro"/>
          <w:lang w:val="en-GB"/>
        </w:rPr>
        <w:t xml:space="preserve"> and all analysis steps are finalized. </w:t>
      </w:r>
    </w:p>
    <w:p w14:paraId="2E29B933" w14:textId="77777777" w:rsidR="000C0DBF" w:rsidRPr="00C178C0" w:rsidRDefault="005F55E2" w:rsidP="00BA06C3">
      <w:pPr>
        <w:spacing w:after="0" w:line="240" w:lineRule="auto"/>
        <w:ind w:left="0" w:right="0" w:firstLine="0"/>
        <w:rPr>
          <w:rFonts w:ascii="Myriad Pro" w:hAnsi="Myriad Pro"/>
          <w:lang w:val="en-GB"/>
        </w:rPr>
      </w:pPr>
      <w:r w:rsidRPr="00C178C0">
        <w:rPr>
          <w:rFonts w:ascii="Myriad Pro" w:eastAsia="Arial" w:hAnsi="Myriad Pro" w:cs="Arial"/>
          <w:lang w:val="en-GB"/>
        </w:rPr>
        <w:t xml:space="preserve"> </w:t>
      </w:r>
    </w:p>
    <w:p w14:paraId="11B29B3E" w14:textId="6C9CA2ED"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GSU </w:t>
      </w:r>
      <w:r w:rsidR="00A013B4" w:rsidRPr="00C178C0">
        <w:rPr>
          <w:rFonts w:ascii="Myriad Pro" w:hAnsi="Myriad Pro"/>
          <w:lang w:val="en-GB"/>
        </w:rPr>
        <w:t xml:space="preserve">will </w:t>
      </w:r>
      <w:r w:rsidRPr="00C178C0">
        <w:rPr>
          <w:rFonts w:ascii="Myriad Pro" w:hAnsi="Myriad Pro"/>
          <w:lang w:val="en-GB"/>
        </w:rPr>
        <w:t>support</w:t>
      </w:r>
      <w:r w:rsidR="00A013B4" w:rsidRPr="00C178C0">
        <w:rPr>
          <w:rFonts w:ascii="Myriad Pro" w:hAnsi="Myriad Pro"/>
          <w:lang w:val="en-GB"/>
        </w:rPr>
        <w:t xml:space="preserve"> </w:t>
      </w:r>
      <w:r w:rsidRPr="00C178C0">
        <w:rPr>
          <w:rFonts w:ascii="Myriad Pro" w:hAnsi="Myriad Pro"/>
          <w:lang w:val="en-GB"/>
        </w:rPr>
        <w:t xml:space="preserve">the </w:t>
      </w:r>
      <w:r w:rsidR="00300C94" w:rsidRPr="00C178C0">
        <w:rPr>
          <w:rFonts w:ascii="Myriad Pro" w:hAnsi="Myriad Pro"/>
          <w:lang w:val="en-GB"/>
        </w:rPr>
        <w:t xml:space="preserve">entire </w:t>
      </w:r>
      <w:r w:rsidRPr="00C178C0">
        <w:rPr>
          <w:rFonts w:ascii="Myriad Pro" w:hAnsi="Myriad Pro"/>
          <w:lang w:val="en-GB"/>
        </w:rPr>
        <w:t xml:space="preserve">analysis </w:t>
      </w:r>
      <w:r w:rsidR="00300C94" w:rsidRPr="00C178C0">
        <w:rPr>
          <w:rFonts w:ascii="Myriad Pro" w:hAnsi="Myriad Pro"/>
          <w:lang w:val="en-GB"/>
        </w:rPr>
        <w:t xml:space="preserve">process </w:t>
      </w:r>
      <w:r w:rsidRPr="00C178C0">
        <w:rPr>
          <w:rFonts w:ascii="Myriad Pro" w:hAnsi="Myriad Pro"/>
          <w:lang w:val="en-GB"/>
        </w:rPr>
        <w:t xml:space="preserve">in real time and provide technical guidance during daily meetings, which are documented. A hotline is also established to facilitate and document constant interaction among all facilitators.  </w:t>
      </w:r>
    </w:p>
    <w:p w14:paraId="0BFA5877" w14:textId="77777777" w:rsidR="000C0DBF" w:rsidRPr="00C178C0" w:rsidRDefault="005F55E2" w:rsidP="00BA06C3">
      <w:pPr>
        <w:spacing w:after="0" w:line="240" w:lineRule="auto"/>
        <w:ind w:left="0" w:right="0" w:firstLine="0"/>
        <w:rPr>
          <w:rFonts w:ascii="Myriad Pro" w:hAnsi="Myriad Pro"/>
          <w:lang w:val="en-GB"/>
        </w:rPr>
      </w:pPr>
      <w:r w:rsidRPr="00C178C0">
        <w:rPr>
          <w:rFonts w:ascii="Myriad Pro" w:eastAsia="Arial" w:hAnsi="Myriad Pro" w:cs="Arial"/>
          <w:lang w:val="en-GB"/>
        </w:rPr>
        <w:t xml:space="preserve"> </w:t>
      </w:r>
      <w:r w:rsidRPr="00C178C0">
        <w:rPr>
          <w:rFonts w:ascii="Myriad Pro" w:eastAsia="Arial" w:hAnsi="Myriad Pro" w:cs="Arial"/>
          <w:lang w:val="en-GB"/>
        </w:rPr>
        <w:tab/>
        <w:t xml:space="preserve"> </w:t>
      </w:r>
    </w:p>
    <w:p w14:paraId="1E2096E3" w14:textId="1D11E31C" w:rsidR="000C0DBF" w:rsidRPr="00C178C0" w:rsidRDefault="005F55E2" w:rsidP="00BA06C3">
      <w:pPr>
        <w:pStyle w:val="Heading2"/>
        <w:numPr>
          <w:ilvl w:val="0"/>
          <w:numId w:val="9"/>
        </w:numPr>
        <w:spacing w:after="0" w:line="240" w:lineRule="auto"/>
        <w:jc w:val="both"/>
        <w:rPr>
          <w:rFonts w:ascii="Myriad Pro" w:hAnsi="Myriad Pro"/>
          <w:i/>
          <w:iCs/>
          <w:lang w:val="en-GB"/>
        </w:rPr>
      </w:pPr>
      <w:r w:rsidRPr="00C178C0">
        <w:rPr>
          <w:rFonts w:ascii="Myriad Pro" w:hAnsi="Myriad Pro"/>
          <w:i/>
          <w:iCs/>
          <w:lang w:val="en-GB"/>
        </w:rPr>
        <w:t xml:space="preserve">Wrap up  </w:t>
      </w:r>
    </w:p>
    <w:p w14:paraId="63494B25" w14:textId="4B4CAC44"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To ensure timely publication of the IPC analysis results, the wrap up phase should not take more than </w:t>
      </w:r>
      <w:r w:rsidR="00340BCB" w:rsidRPr="00C178C0">
        <w:rPr>
          <w:rFonts w:ascii="Myriad Pro" w:hAnsi="Myriad Pro"/>
          <w:lang w:val="en-GB"/>
        </w:rPr>
        <w:t>a</w:t>
      </w:r>
      <w:r w:rsidRPr="00C178C0">
        <w:rPr>
          <w:rFonts w:ascii="Myriad Pro" w:hAnsi="Myriad Pro"/>
          <w:lang w:val="en-GB"/>
        </w:rPr>
        <w:t xml:space="preserve"> week. This entails the following activities: </w:t>
      </w:r>
    </w:p>
    <w:p w14:paraId="0DD4ABA0" w14:textId="77777777" w:rsidR="000C0DBF" w:rsidRPr="00C178C0" w:rsidRDefault="005F55E2" w:rsidP="003217AD">
      <w:pPr>
        <w:pStyle w:val="ListParagraph"/>
        <w:numPr>
          <w:ilvl w:val="0"/>
          <w:numId w:val="15"/>
        </w:numPr>
        <w:spacing w:after="0" w:line="240" w:lineRule="auto"/>
        <w:ind w:right="48"/>
        <w:rPr>
          <w:rFonts w:ascii="Myriad Pro" w:hAnsi="Myriad Pro"/>
          <w:lang w:val="en-GB"/>
        </w:rPr>
      </w:pPr>
      <w:r w:rsidRPr="00C178C0">
        <w:rPr>
          <w:rFonts w:ascii="Myriad Pro" w:hAnsi="Myriad Pro"/>
          <w:lang w:val="en-GB"/>
        </w:rPr>
        <w:t xml:space="preserve">Debriefing and completion of the Self-Assessment tool (as per IPC V.3.0 protocols) by the core analysis team. </w:t>
      </w:r>
    </w:p>
    <w:p w14:paraId="32C8E328" w14:textId="77777777" w:rsidR="005770D2" w:rsidRPr="00C178C0" w:rsidRDefault="005F55E2" w:rsidP="003217AD">
      <w:pPr>
        <w:pStyle w:val="ListParagraph"/>
        <w:numPr>
          <w:ilvl w:val="0"/>
          <w:numId w:val="15"/>
        </w:numPr>
        <w:spacing w:after="0" w:line="240" w:lineRule="auto"/>
        <w:ind w:right="48"/>
        <w:rPr>
          <w:rFonts w:ascii="Myriad Pro" w:hAnsi="Myriad Pro"/>
          <w:lang w:val="en-GB"/>
        </w:rPr>
      </w:pPr>
      <w:r w:rsidRPr="00C178C0">
        <w:rPr>
          <w:rFonts w:ascii="Myriad Pro" w:hAnsi="Myriad Pro"/>
          <w:lang w:val="en-GB"/>
        </w:rPr>
        <w:t xml:space="preserve">Presentation of the IPC analysis results to the larger analysis team in a plenary session for feedback/comments. Recommendations are documented and, when agreed by the core analysis team (based on evidence), are incorporated in the analysis. </w:t>
      </w:r>
    </w:p>
    <w:p w14:paraId="5FBF3AB0" w14:textId="642D6DE9" w:rsidR="000C0DBF" w:rsidRPr="00C178C0" w:rsidRDefault="005F55E2" w:rsidP="003217AD">
      <w:pPr>
        <w:pStyle w:val="ListParagraph"/>
        <w:numPr>
          <w:ilvl w:val="0"/>
          <w:numId w:val="15"/>
        </w:numPr>
        <w:spacing w:after="0" w:line="240" w:lineRule="auto"/>
        <w:ind w:right="48"/>
        <w:rPr>
          <w:rFonts w:ascii="Myriad Pro" w:hAnsi="Myriad Pro"/>
          <w:lang w:val="en-GB"/>
        </w:rPr>
      </w:pPr>
      <w:r w:rsidRPr="00C178C0">
        <w:rPr>
          <w:rFonts w:ascii="Myriad Pro" w:hAnsi="Myriad Pro"/>
          <w:lang w:val="en-GB"/>
        </w:rPr>
        <w:t>Identification of the drafting team for the IPC report. Once drafted, the report is circulated among the larger analysis team members</w:t>
      </w:r>
      <w:r w:rsidR="008F3C8A" w:rsidRPr="00C178C0">
        <w:rPr>
          <w:rFonts w:ascii="Myriad Pro" w:hAnsi="Myriad Pro"/>
          <w:lang w:val="en-GB"/>
        </w:rPr>
        <w:t xml:space="preserve"> and the national entity that normally provide the lead</w:t>
      </w:r>
      <w:r w:rsidRPr="00C178C0">
        <w:rPr>
          <w:rFonts w:ascii="Myriad Pro" w:hAnsi="Myriad Pro"/>
          <w:lang w:val="en-GB"/>
        </w:rPr>
        <w:t xml:space="preserve"> for </w:t>
      </w:r>
      <w:r w:rsidR="008F3C8A" w:rsidRPr="00C178C0">
        <w:rPr>
          <w:rFonts w:ascii="Myriad Pro" w:hAnsi="Myriad Pro"/>
          <w:lang w:val="en-GB"/>
        </w:rPr>
        <w:t xml:space="preserve">the formal </w:t>
      </w:r>
      <w:r w:rsidRPr="00C178C0">
        <w:rPr>
          <w:rFonts w:ascii="Myriad Pro" w:hAnsi="Myriad Pro"/>
          <w:lang w:val="en-GB"/>
        </w:rPr>
        <w:t>final endorsement</w:t>
      </w:r>
      <w:r w:rsidR="00500B6C" w:rsidRPr="00C178C0">
        <w:rPr>
          <w:rFonts w:ascii="Myriad Pro" w:hAnsi="Myriad Pro"/>
          <w:lang w:val="en-GB"/>
        </w:rPr>
        <w:t xml:space="preserve"> </w:t>
      </w:r>
      <w:r w:rsidR="008F3C8A" w:rsidRPr="00C178C0">
        <w:rPr>
          <w:rFonts w:ascii="Myriad Pro" w:hAnsi="Myriad Pro"/>
          <w:lang w:val="en-GB"/>
        </w:rPr>
        <w:t>(2 days maximum of deadline)</w:t>
      </w:r>
      <w:r w:rsidRPr="00C178C0">
        <w:rPr>
          <w:rFonts w:ascii="Myriad Pro" w:hAnsi="Myriad Pro"/>
          <w:lang w:val="en-GB"/>
        </w:rPr>
        <w:t xml:space="preserve">. </w:t>
      </w:r>
    </w:p>
    <w:p w14:paraId="463B64E1" w14:textId="77777777" w:rsidR="000C0DBF" w:rsidRPr="00C178C0" w:rsidRDefault="005F55E2" w:rsidP="003217AD">
      <w:pPr>
        <w:pStyle w:val="ListParagraph"/>
        <w:numPr>
          <w:ilvl w:val="0"/>
          <w:numId w:val="15"/>
        </w:numPr>
        <w:spacing w:after="0" w:line="240" w:lineRule="auto"/>
        <w:ind w:right="48"/>
        <w:rPr>
          <w:rFonts w:ascii="Myriad Pro" w:hAnsi="Myriad Pro"/>
          <w:lang w:val="en-GB"/>
        </w:rPr>
      </w:pPr>
      <w:r w:rsidRPr="00C178C0">
        <w:rPr>
          <w:rFonts w:ascii="Myriad Pro" w:hAnsi="Myriad Pro"/>
          <w:lang w:val="en-GB"/>
        </w:rPr>
        <w:t xml:space="preserve">The usual country process is followed for publication and dissemination of the IPC report. Once released at the country level, the report is uploaded on the IPC website for global dissemination. </w:t>
      </w:r>
    </w:p>
    <w:p w14:paraId="6F99D7A3" w14:textId="77777777" w:rsidR="000C0DBF" w:rsidRPr="00C178C0" w:rsidRDefault="005F55E2" w:rsidP="00BA06C3">
      <w:pPr>
        <w:spacing w:after="0" w:line="240" w:lineRule="auto"/>
        <w:ind w:left="720" w:right="0" w:firstLine="0"/>
        <w:rPr>
          <w:rFonts w:ascii="Myriad Pro" w:hAnsi="Myriad Pro"/>
          <w:lang w:val="en-GB"/>
        </w:rPr>
      </w:pPr>
      <w:r w:rsidRPr="00C178C0">
        <w:rPr>
          <w:rFonts w:ascii="Myriad Pro" w:eastAsia="Arial" w:hAnsi="Myriad Pro" w:cs="Arial"/>
          <w:lang w:val="en-GB"/>
        </w:rPr>
        <w:t xml:space="preserve"> </w:t>
      </w:r>
    </w:p>
    <w:p w14:paraId="7BF2887D" w14:textId="77777777" w:rsidR="000C0DBF" w:rsidRPr="00C178C0" w:rsidRDefault="005F55E2" w:rsidP="00BA06C3">
      <w:pPr>
        <w:spacing w:after="0" w:line="240" w:lineRule="auto"/>
        <w:ind w:left="-5" w:right="48"/>
        <w:rPr>
          <w:rFonts w:ascii="Myriad Pro" w:hAnsi="Myriad Pro"/>
          <w:b/>
          <w:bCs/>
          <w:lang w:val="en-GB"/>
        </w:rPr>
      </w:pPr>
      <w:r w:rsidRPr="00C178C0">
        <w:rPr>
          <w:rFonts w:ascii="Myriad Pro" w:hAnsi="Myriad Pro"/>
          <w:b/>
          <w:bCs/>
          <w:lang w:val="en-GB"/>
        </w:rPr>
        <w:t>c) Internet requirements</w:t>
      </w:r>
      <w:r w:rsidR="005770D2" w:rsidRPr="00C178C0">
        <w:rPr>
          <w:rFonts w:ascii="Myriad Pro" w:hAnsi="Myriad Pro"/>
          <w:b/>
          <w:bCs/>
          <w:lang w:val="en-GB"/>
        </w:rPr>
        <w:t xml:space="preserve"> </w:t>
      </w:r>
      <w:r w:rsidRPr="00C178C0">
        <w:rPr>
          <w:rFonts w:ascii="Myriad Pro" w:hAnsi="Myriad Pro"/>
          <w:b/>
          <w:bCs/>
          <w:lang w:val="en-GB"/>
        </w:rPr>
        <w:t xml:space="preserve">&amp; collaboration tools </w:t>
      </w:r>
    </w:p>
    <w:p w14:paraId="226B226A" w14:textId="77777777"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In order to </w:t>
      </w:r>
      <w:r w:rsidR="005770D2" w:rsidRPr="00C178C0">
        <w:rPr>
          <w:rFonts w:ascii="Myriad Pro" w:hAnsi="Myriad Pro"/>
          <w:lang w:val="en-GB"/>
        </w:rPr>
        <w:t>carry out the</w:t>
      </w:r>
      <w:r w:rsidRPr="00C178C0">
        <w:rPr>
          <w:rFonts w:ascii="Myriad Pro" w:hAnsi="Myriad Pro"/>
          <w:lang w:val="en-GB"/>
        </w:rPr>
        <w:t xml:space="preserve"> IPC virtual </w:t>
      </w:r>
      <w:r w:rsidR="005770D2" w:rsidRPr="00C178C0">
        <w:rPr>
          <w:rFonts w:ascii="Myriad Pro" w:hAnsi="Myriad Pro"/>
          <w:lang w:val="en-GB"/>
        </w:rPr>
        <w:t>a</w:t>
      </w:r>
      <w:r w:rsidRPr="00C178C0">
        <w:rPr>
          <w:rFonts w:ascii="Myriad Pro" w:hAnsi="Myriad Pro"/>
          <w:lang w:val="en-GB"/>
        </w:rPr>
        <w:t>nalyses</w:t>
      </w:r>
      <w:r w:rsidR="005770D2" w:rsidRPr="00C178C0">
        <w:rPr>
          <w:rFonts w:ascii="Myriad Pro" w:hAnsi="Myriad Pro"/>
          <w:lang w:val="en-GB"/>
        </w:rPr>
        <w:t xml:space="preserve"> effectively</w:t>
      </w:r>
      <w:r w:rsidRPr="00C178C0">
        <w:rPr>
          <w:rFonts w:ascii="Myriad Pro" w:hAnsi="Myriad Pro"/>
          <w:lang w:val="en-GB"/>
        </w:rPr>
        <w:t>, high-speed internet connection and internet-based collaboration tools such as Skype</w:t>
      </w:r>
      <w:r w:rsidR="005770D2" w:rsidRPr="00C178C0">
        <w:rPr>
          <w:rFonts w:ascii="Myriad Pro" w:hAnsi="Myriad Pro"/>
          <w:lang w:val="en-GB"/>
        </w:rPr>
        <w:t xml:space="preserve"> or</w:t>
      </w:r>
      <w:r w:rsidRPr="00C178C0">
        <w:rPr>
          <w:rFonts w:ascii="Myriad Pro" w:hAnsi="Myriad Pro"/>
          <w:lang w:val="en-GB"/>
        </w:rPr>
        <w:t xml:space="preserve"> Zoom</w:t>
      </w:r>
      <w:r w:rsidR="005770D2" w:rsidRPr="00C178C0">
        <w:rPr>
          <w:rFonts w:ascii="Myriad Pro" w:hAnsi="Myriad Pro"/>
          <w:lang w:val="en-GB"/>
        </w:rPr>
        <w:t xml:space="preserve"> will be required</w:t>
      </w:r>
      <w:r w:rsidRPr="00C178C0">
        <w:rPr>
          <w:rFonts w:ascii="Myriad Pro" w:hAnsi="Myriad Pro"/>
          <w:lang w:val="en-GB"/>
        </w:rPr>
        <w:t xml:space="preserve">. Specifically, this implies having DSL/Phone/Fiber/other ‘hot-spot’ / internet connection which is 3mbps or higher. If phone/mobile is used with pre or post-paid plan it should have either 3G, 4G, or LTE coverage. </w:t>
      </w:r>
    </w:p>
    <w:p w14:paraId="031411DB" w14:textId="77777777" w:rsidR="000C0DBF" w:rsidRPr="00C178C0" w:rsidRDefault="005F55E2" w:rsidP="00BA06C3">
      <w:pPr>
        <w:spacing w:after="0" w:line="240" w:lineRule="auto"/>
        <w:ind w:left="0" w:right="0" w:firstLine="0"/>
        <w:rPr>
          <w:rFonts w:ascii="Myriad Pro" w:hAnsi="Myriad Pro"/>
          <w:lang w:val="en-GB"/>
        </w:rPr>
      </w:pPr>
      <w:r w:rsidRPr="00C178C0">
        <w:rPr>
          <w:rFonts w:ascii="Myriad Pro" w:hAnsi="Myriad Pro"/>
          <w:lang w:val="en-GB"/>
        </w:rPr>
        <w:t xml:space="preserve"> </w:t>
      </w:r>
    </w:p>
    <w:p w14:paraId="33FDADC4" w14:textId="77777777"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lastRenderedPageBreak/>
        <w:t xml:space="preserve">Given that IPC virtual analysis participants are expected to be working from home and thus rely on their home or mobile phone connection, internet top-ups may be required in order to ensure adequate connection. GSU stands ready to cover these costs should the countries need financial support. </w:t>
      </w:r>
    </w:p>
    <w:p w14:paraId="25FFFC51" w14:textId="77777777" w:rsidR="000C0DBF" w:rsidRPr="00C178C0" w:rsidRDefault="000C0DBF" w:rsidP="00BA06C3">
      <w:pPr>
        <w:spacing w:after="0" w:line="240" w:lineRule="auto"/>
        <w:ind w:left="0" w:right="0" w:firstLine="0"/>
        <w:rPr>
          <w:rFonts w:ascii="Myriad Pro" w:hAnsi="Myriad Pro"/>
          <w:lang w:val="en-GB"/>
        </w:rPr>
      </w:pPr>
    </w:p>
    <w:p w14:paraId="687F7E2C" w14:textId="77777777" w:rsidR="00520FF3"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Participants may also face IT-related issues </w:t>
      </w:r>
      <w:proofErr w:type="gramStart"/>
      <w:r w:rsidRPr="00C178C0">
        <w:rPr>
          <w:rFonts w:ascii="Myriad Pro" w:hAnsi="Myriad Pro"/>
          <w:lang w:val="en-GB"/>
        </w:rPr>
        <w:t>due to the fact that</w:t>
      </w:r>
      <w:proofErr w:type="gramEnd"/>
      <w:r w:rsidRPr="00C178C0">
        <w:rPr>
          <w:rFonts w:ascii="Myriad Pro" w:hAnsi="Myriad Pro"/>
          <w:lang w:val="en-GB"/>
        </w:rPr>
        <w:t xml:space="preserve"> individuals may not have access to their office IT staff. The GSU will thus provide support to respond to individual IT issues as needed</w:t>
      </w:r>
      <w:r w:rsidR="00520FF3" w:rsidRPr="00C178C0">
        <w:rPr>
          <w:rFonts w:ascii="Myriad Pro" w:hAnsi="Myriad Pro"/>
          <w:lang w:val="en-GB"/>
        </w:rPr>
        <w:t>.</w:t>
      </w:r>
    </w:p>
    <w:p w14:paraId="7E185A83" w14:textId="77777777" w:rsidR="000C0DBF" w:rsidRPr="00C178C0" w:rsidRDefault="005F55E2" w:rsidP="00BA06C3">
      <w:pPr>
        <w:spacing w:after="0" w:line="240" w:lineRule="auto"/>
        <w:ind w:left="-5" w:right="48"/>
        <w:rPr>
          <w:rFonts w:ascii="Myriad Pro" w:hAnsi="Myriad Pro"/>
          <w:lang w:val="en-GB"/>
        </w:rPr>
      </w:pPr>
      <w:r w:rsidRPr="00C178C0">
        <w:rPr>
          <w:rFonts w:ascii="Myriad Pro" w:hAnsi="Myriad Pro"/>
          <w:lang w:val="en-GB"/>
        </w:rPr>
        <w:t xml:space="preserve"> </w:t>
      </w:r>
    </w:p>
    <w:p w14:paraId="07554F73" w14:textId="630CF613" w:rsidR="008A28B9" w:rsidRPr="00C178C0" w:rsidRDefault="008A28B9">
      <w:pPr>
        <w:spacing w:after="160" w:line="259" w:lineRule="auto"/>
        <w:ind w:left="0" w:right="0" w:firstLine="0"/>
        <w:jc w:val="left"/>
        <w:rPr>
          <w:rFonts w:ascii="Myriad Pro" w:hAnsi="Myriad Pro"/>
          <w:lang w:val="en-GB"/>
        </w:rPr>
      </w:pPr>
      <w:r w:rsidRPr="00C178C0">
        <w:rPr>
          <w:rFonts w:ascii="Myriad Pro" w:hAnsi="Myriad Pro"/>
          <w:lang w:val="en-GB"/>
        </w:rPr>
        <w:br w:type="page"/>
      </w:r>
    </w:p>
    <w:p w14:paraId="4A7E6FB8" w14:textId="77777777" w:rsidR="008A28B9" w:rsidRPr="00C178C0" w:rsidRDefault="008A28B9" w:rsidP="00BA06C3">
      <w:pPr>
        <w:spacing w:after="0" w:line="240" w:lineRule="auto"/>
        <w:ind w:left="0" w:right="0" w:firstLine="0"/>
        <w:jc w:val="left"/>
        <w:rPr>
          <w:rFonts w:ascii="Myriad Pro" w:hAnsi="Myriad Pro"/>
          <w:b/>
          <w:bCs/>
          <w:sz w:val="24"/>
          <w:szCs w:val="24"/>
          <w:lang w:val="en-GB"/>
        </w:rPr>
      </w:pPr>
      <w:r w:rsidRPr="00C178C0">
        <w:rPr>
          <w:rFonts w:ascii="Myriad Pro" w:hAnsi="Myriad Pro"/>
          <w:b/>
          <w:bCs/>
          <w:sz w:val="24"/>
          <w:szCs w:val="24"/>
          <w:lang w:val="en-GB"/>
        </w:rPr>
        <w:lastRenderedPageBreak/>
        <w:t xml:space="preserve">Annex </w:t>
      </w:r>
    </w:p>
    <w:p w14:paraId="034928F2" w14:textId="1BAA0B71" w:rsidR="000C0DBF" w:rsidRPr="00C178C0" w:rsidRDefault="008A28B9" w:rsidP="00BA06C3">
      <w:pPr>
        <w:spacing w:after="0" w:line="240" w:lineRule="auto"/>
        <w:ind w:left="0" w:right="0" w:firstLine="0"/>
        <w:jc w:val="left"/>
        <w:rPr>
          <w:rFonts w:ascii="Myriad Pro" w:hAnsi="Myriad Pro"/>
          <w:lang w:val="en-GB"/>
        </w:rPr>
      </w:pPr>
      <w:r w:rsidRPr="00C178C0">
        <w:rPr>
          <w:rFonts w:ascii="Myriad Pro" w:hAnsi="Myriad Pro"/>
          <w:lang w:val="en-GB"/>
        </w:rPr>
        <w:t>Data that may be considered for IPC AMN analysis (in the absence of current data)</w:t>
      </w:r>
    </w:p>
    <w:p w14:paraId="6585A545" w14:textId="5322433F" w:rsidR="008A28B9" w:rsidRPr="00C178C0" w:rsidRDefault="008A28B9" w:rsidP="00BA06C3">
      <w:pPr>
        <w:spacing w:after="0" w:line="240" w:lineRule="auto"/>
        <w:ind w:left="0" w:right="0" w:firstLine="0"/>
        <w:jc w:val="left"/>
        <w:rPr>
          <w:rFonts w:ascii="Myriad Pro" w:hAnsi="Myriad Pro"/>
          <w:lang w:val="en-GB"/>
        </w:rPr>
      </w:pPr>
    </w:p>
    <w:p w14:paraId="2F191F7D" w14:textId="49AC1E03" w:rsidR="008A28B9" w:rsidRPr="00C178C0" w:rsidRDefault="008A28B9" w:rsidP="008A28B9">
      <w:pPr>
        <w:spacing w:after="0" w:line="240" w:lineRule="auto"/>
        <w:ind w:left="0" w:right="0" w:firstLine="0"/>
        <w:jc w:val="left"/>
        <w:rPr>
          <w:rFonts w:ascii="Myriad Pro" w:hAnsi="Myriad Pro"/>
          <w:lang w:val="en-GB"/>
        </w:rPr>
      </w:pPr>
      <w:r w:rsidRPr="00C178C0">
        <w:rPr>
          <w:rFonts w:ascii="Myriad Pro" w:hAnsi="Myriad Pro"/>
          <w:lang w:val="en-GB"/>
        </w:rPr>
        <w:t>As per the IPC Technical Manual version 3.0, in the absence of current data, the following evidence can be used to conduct an IPC AMN analysis:</w:t>
      </w:r>
    </w:p>
    <w:p w14:paraId="71D9CA76" w14:textId="504D1358" w:rsidR="008A28B9" w:rsidRPr="00C178C0" w:rsidRDefault="008A28B9" w:rsidP="008A28B9">
      <w:pPr>
        <w:pStyle w:val="ListParagraph"/>
        <w:numPr>
          <w:ilvl w:val="0"/>
          <w:numId w:val="11"/>
        </w:numPr>
        <w:spacing w:after="0" w:line="240" w:lineRule="auto"/>
        <w:ind w:right="0"/>
        <w:jc w:val="left"/>
        <w:rPr>
          <w:rFonts w:ascii="Myriad Pro" w:hAnsi="Myriad Pro"/>
          <w:lang w:val="en-GB"/>
        </w:rPr>
      </w:pPr>
      <w:r w:rsidRPr="00C178C0">
        <w:rPr>
          <w:rFonts w:ascii="Myriad Pro" w:hAnsi="Myriad Pro"/>
          <w:lang w:val="en-GB"/>
        </w:rPr>
        <w:t>Recent data (data collected within the last 6 months for bimodal areas and 12 months for unimodal)</w:t>
      </w:r>
    </w:p>
    <w:p w14:paraId="4B38F8B8" w14:textId="049E583F" w:rsidR="008A28B9" w:rsidRPr="00C178C0" w:rsidRDefault="008A28B9" w:rsidP="008A28B9">
      <w:pPr>
        <w:pStyle w:val="ListParagraph"/>
        <w:numPr>
          <w:ilvl w:val="0"/>
          <w:numId w:val="11"/>
        </w:numPr>
        <w:spacing w:after="0" w:line="240" w:lineRule="auto"/>
        <w:ind w:right="0"/>
        <w:jc w:val="left"/>
        <w:rPr>
          <w:rFonts w:ascii="Myriad Pro" w:hAnsi="Myriad Pro"/>
          <w:lang w:val="en-GB"/>
        </w:rPr>
      </w:pPr>
      <w:r w:rsidRPr="00C178C0">
        <w:rPr>
          <w:rFonts w:ascii="Myriad Pro" w:hAnsi="Myriad Pro"/>
          <w:lang w:val="en-GB"/>
        </w:rPr>
        <w:t>Historical data (2 estimates from the same season of the analysis in the last 5 years</w:t>
      </w:r>
      <w:r w:rsidR="00AE7B2F" w:rsidRPr="00C178C0">
        <w:rPr>
          <w:rFonts w:ascii="Myriad Pro" w:hAnsi="Myriad Pro"/>
          <w:lang w:val="en-GB"/>
        </w:rPr>
        <w:t>)</w:t>
      </w:r>
    </w:p>
    <w:p w14:paraId="647AB967" w14:textId="62B47B29" w:rsidR="008A28B9" w:rsidRPr="00C178C0" w:rsidRDefault="006A4FED" w:rsidP="008A28B9">
      <w:pPr>
        <w:pStyle w:val="ListParagraph"/>
        <w:numPr>
          <w:ilvl w:val="0"/>
          <w:numId w:val="11"/>
        </w:numPr>
        <w:spacing w:after="0" w:line="240" w:lineRule="auto"/>
        <w:ind w:right="0"/>
        <w:jc w:val="left"/>
        <w:rPr>
          <w:rFonts w:ascii="Myriad Pro" w:hAnsi="Myriad Pro"/>
          <w:lang w:val="en-GB"/>
        </w:rPr>
      </w:pPr>
      <w:r w:rsidRPr="00C178C0">
        <w:rPr>
          <w:rFonts w:ascii="Myriad Pro" w:hAnsi="Myriad Pro"/>
          <w:lang w:val="en-GB"/>
        </w:rPr>
        <w:t>Data collected u</w:t>
      </w:r>
      <w:r w:rsidR="008A28B9" w:rsidRPr="00C178C0">
        <w:rPr>
          <w:rFonts w:ascii="Myriad Pro" w:hAnsi="Myriad Pro"/>
          <w:lang w:val="en-GB"/>
        </w:rPr>
        <w:t xml:space="preserve">sing the </w:t>
      </w:r>
      <w:r w:rsidR="006A3D2D" w:rsidRPr="00C178C0">
        <w:rPr>
          <w:rFonts w:ascii="Myriad Pro" w:hAnsi="Myriad Pro"/>
          <w:lang w:val="en-GB"/>
        </w:rPr>
        <w:t xml:space="preserve">IPC </w:t>
      </w:r>
      <w:r w:rsidR="008A28B9" w:rsidRPr="00C178C0">
        <w:rPr>
          <w:rFonts w:ascii="Myriad Pro" w:hAnsi="Myriad Pro"/>
          <w:lang w:val="en-GB"/>
        </w:rPr>
        <w:t>protocols for areas with limited humanitarian access</w:t>
      </w:r>
    </w:p>
    <w:sectPr w:rsidR="008A28B9" w:rsidRPr="00C178C0" w:rsidSect="00C178C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1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573D4" w14:textId="77777777" w:rsidR="004616BC" w:rsidRDefault="004616BC">
      <w:pPr>
        <w:spacing w:after="0" w:line="240" w:lineRule="auto"/>
      </w:pPr>
      <w:r>
        <w:separator/>
      </w:r>
    </w:p>
  </w:endnote>
  <w:endnote w:type="continuationSeparator" w:id="0">
    <w:p w14:paraId="501F181C" w14:textId="77777777" w:rsidR="004616BC" w:rsidRDefault="0046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6E104" w14:textId="77777777" w:rsidR="000C0DBF" w:rsidRDefault="005F55E2">
    <w:pPr>
      <w:spacing w:after="0" w:line="259" w:lineRule="auto"/>
      <w:ind w:left="4625" w:right="0" w:firstLine="0"/>
      <w:jc w:val="left"/>
    </w:pPr>
    <w:r>
      <w:fldChar w:fldCharType="begin"/>
    </w:r>
    <w:r>
      <w:instrText xml:space="preserve"> PAGE   \* MERGEFORMAT </w:instrText>
    </w:r>
    <w:r>
      <w:fldChar w:fldCharType="separate"/>
    </w:r>
    <w:r>
      <w:t>1</w:t>
    </w:r>
    <w:r>
      <w:fldChar w:fldCharType="end"/>
    </w:r>
    <w:r>
      <w:t xml:space="preserve"> </w:t>
    </w:r>
  </w:p>
  <w:p w14:paraId="2AD344AD" w14:textId="77777777" w:rsidR="000C0DBF" w:rsidRDefault="005F55E2">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25906" w14:textId="026F7BFE" w:rsidR="000C0DBF" w:rsidRDefault="005F55E2">
    <w:pPr>
      <w:spacing w:after="0" w:line="259" w:lineRule="auto"/>
      <w:ind w:left="4625" w:right="0" w:firstLine="0"/>
      <w:jc w:val="left"/>
    </w:pPr>
    <w:r>
      <w:fldChar w:fldCharType="begin"/>
    </w:r>
    <w:r>
      <w:instrText xml:space="preserve"> PAGE   \* MERGEFORMAT </w:instrText>
    </w:r>
    <w:r>
      <w:fldChar w:fldCharType="separate"/>
    </w:r>
    <w:r w:rsidR="00C178C0">
      <w:rPr>
        <w:noProof/>
      </w:rPr>
      <w:t>5</w:t>
    </w:r>
    <w:r>
      <w:fldChar w:fldCharType="end"/>
    </w:r>
    <w:r>
      <w:t xml:space="preserve"> </w:t>
    </w:r>
  </w:p>
  <w:p w14:paraId="7CEDFC37" w14:textId="77777777" w:rsidR="000C0DBF" w:rsidRDefault="005F55E2">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6D88" w14:textId="208771B4" w:rsidR="000C0DBF" w:rsidRDefault="005F55E2">
    <w:pPr>
      <w:spacing w:after="0" w:line="259" w:lineRule="auto"/>
      <w:ind w:left="4625" w:right="0" w:firstLine="0"/>
      <w:jc w:val="left"/>
    </w:pPr>
    <w:r>
      <w:fldChar w:fldCharType="begin"/>
    </w:r>
    <w:r>
      <w:instrText xml:space="preserve"> PAGE   \* MERGEFORMAT </w:instrText>
    </w:r>
    <w:r>
      <w:fldChar w:fldCharType="separate"/>
    </w:r>
    <w:r w:rsidR="00C178C0">
      <w:rPr>
        <w:noProof/>
      </w:rPr>
      <w:t>1</w:t>
    </w:r>
    <w:r>
      <w:fldChar w:fldCharType="end"/>
    </w:r>
    <w:r>
      <w:t xml:space="preserve"> </w:t>
    </w:r>
  </w:p>
  <w:p w14:paraId="52AEE4CE" w14:textId="77777777" w:rsidR="000C0DBF" w:rsidRDefault="005F55E2">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CFA01" w14:textId="77777777" w:rsidR="004616BC" w:rsidRDefault="004616BC">
      <w:pPr>
        <w:spacing w:after="0" w:line="240" w:lineRule="auto"/>
      </w:pPr>
      <w:r>
        <w:separator/>
      </w:r>
    </w:p>
  </w:footnote>
  <w:footnote w:type="continuationSeparator" w:id="0">
    <w:p w14:paraId="43DA2C0F" w14:textId="77777777" w:rsidR="004616BC" w:rsidRDefault="00461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4187A" w14:textId="77777777" w:rsidR="000C0DBF" w:rsidRDefault="005F55E2">
    <w:r>
      <w:rPr>
        <w:noProof/>
      </w:rPr>
      <mc:AlternateContent>
        <mc:Choice Requires="wpg">
          <w:drawing>
            <wp:anchor distT="0" distB="0" distL="114300" distR="114300" simplePos="0" relativeHeight="251658240" behindDoc="1" locked="0" layoutInCell="1" allowOverlap="1" wp14:anchorId="1D76CCBA" wp14:editId="7198C1B3">
              <wp:simplePos x="0" y="0"/>
              <wp:positionH relativeFrom="page">
                <wp:posOffset>1288669</wp:posOffset>
              </wp:positionH>
              <wp:positionV relativeFrom="page">
                <wp:posOffset>2557907</wp:posOffset>
              </wp:positionV>
              <wp:extent cx="4672330" cy="4936236"/>
              <wp:effectExtent l="0" t="0" r="0" b="0"/>
              <wp:wrapNone/>
              <wp:docPr id="10219" name="Group 10219"/>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0226" name="Shape 10226"/>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27" name="Shape 10227"/>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24" name="Shape 10224"/>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25" name="Shape 10225"/>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22" name="Shape 10222"/>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23" name="Shape 10223"/>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21" name="Shape 10221"/>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220" name="Shape 10220"/>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0219" style="width:367.9pt;height:388.68pt;position:absolute;z-index:-2147483648;mso-position-horizontal-relative:page;mso-position-horizontal:absolute;margin-left:101.47pt;mso-position-vertical-relative:page;margin-top:201.41pt;" coordsize="46723,49362">
              <v:shape id="Shape 10226"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10227" style="position:absolute;width:8700;height:16821;left:9076;top:32540;" coordsize="870098,1682167" path="m0,0l29305,14651c54337,28373,79555,43423,104923,59869c206396,125655,310917,211888,416200,317171c537612,438710,634132,554661,704998,664008c777134,774498,823108,877368,846603,973888c870098,1070408,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8,668676,1017703,646959,945567c625369,873559,588412,796088,530373,713031c473350,630861,397277,542215,301773,446711c225827,370765,149119,306503,71649,251512c52536,238050,33517,225620,14608,214180l0,206048l0,0x">
                <v:stroke weight="0pt" endcap="flat" joinstyle="miter" miterlimit="10" on="false" color="#000000" opacity="0"/>
                <v:fill on="true" color="#c0c0c0" opacity="0.501961"/>
              </v:shape>
              <v:shape id="Shape 10224"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10225"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2,903502,1620007,905915,1626357c908201,1632707,908074,1639312,906169,1645535c904899,1653536,901470,1661028,896263,1670680c889913,1679190,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10222"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10223"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10221"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1,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0,414274,0,420878,0x">
                <v:stroke weight="0pt" endcap="flat" joinstyle="miter" miterlimit="10" on="false" color="#000000" opacity="0"/>
                <v:fill on="true" color="#c0c0c0" opacity="0.501961"/>
              </v:shape>
              <v:shape id="Shape 10220"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FE93A" w14:textId="20E80B80" w:rsidR="000C0DBF" w:rsidRDefault="00207286">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7D510" w14:textId="2D90EFA1" w:rsidR="000C0DBF" w:rsidRDefault="00851C73">
    <w:r>
      <w:rPr>
        <w:noProof/>
      </w:rPr>
      <w:drawing>
        <wp:inline distT="0" distB="0" distL="0" distR="0" wp14:anchorId="2C45C29D" wp14:editId="1184FF5D">
          <wp:extent cx="5943600" cy="704850"/>
          <wp:effectExtent l="0" t="0" r="0" b="0"/>
          <wp:docPr id="18118625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62529" name="Picture 1811862529"/>
                  <pic:cNvPicPr/>
                </pic:nvPicPr>
                <pic:blipFill>
                  <a:blip r:embed="rId1">
                    <a:extLst>
                      <a:ext uri="{28A0092B-C50C-407E-A947-70E740481C1C}">
                        <a14:useLocalDpi xmlns:a14="http://schemas.microsoft.com/office/drawing/2010/main" val="0"/>
                      </a:ext>
                    </a:extLst>
                  </a:blip>
                  <a:stretch>
                    <a:fillRect/>
                  </a:stretch>
                </pic:blipFill>
                <pic:spPr>
                  <a:xfrm>
                    <a:off x="0" y="0"/>
                    <a:ext cx="5943600" cy="704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A4E0D"/>
    <w:multiLevelType w:val="multilevel"/>
    <w:tmpl w:val="3EB2C580"/>
    <w:lvl w:ilvl="0">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 w15:restartNumberingAfterBreak="0">
    <w:nsid w:val="0E593054"/>
    <w:multiLevelType w:val="hybridMultilevel"/>
    <w:tmpl w:val="A4EC6D44"/>
    <w:lvl w:ilvl="0" w:tplc="04090017">
      <w:start w:val="1"/>
      <w:numFmt w:val="lowerLetter"/>
      <w:lvlText w:val="%1)"/>
      <w:lvlJc w:val="left"/>
      <w:pPr>
        <w:ind w:left="991" w:hanging="360"/>
      </w:p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2" w15:restartNumberingAfterBreak="0">
    <w:nsid w:val="109A2124"/>
    <w:multiLevelType w:val="hybridMultilevel"/>
    <w:tmpl w:val="442E13D8"/>
    <w:lvl w:ilvl="0" w:tplc="B0AC44B4">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20F7D8">
      <w:start w:val="1"/>
      <w:numFmt w:val="bullet"/>
      <w:lvlText w:val="-"/>
      <w:lvlJc w:val="left"/>
      <w:pPr>
        <w:ind w:left="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F85C9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ECAA5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8E1C9C">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5C1C3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8A1E1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948F24">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DE8B82">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9F5901"/>
    <w:multiLevelType w:val="hybridMultilevel"/>
    <w:tmpl w:val="84A67084"/>
    <w:lvl w:ilvl="0" w:tplc="E9B2D56C">
      <w:start w:val="1"/>
      <w:numFmt w:val="lowerRoman"/>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06DBBE">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667E20">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96EBEE">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F65346">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F8247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3863B2">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A279AE">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8792E">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A677FF"/>
    <w:multiLevelType w:val="hybridMultilevel"/>
    <w:tmpl w:val="A57CFD5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2657D96"/>
    <w:multiLevelType w:val="hybridMultilevel"/>
    <w:tmpl w:val="88B4F406"/>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B03A75"/>
    <w:multiLevelType w:val="hybridMultilevel"/>
    <w:tmpl w:val="963270D8"/>
    <w:lvl w:ilvl="0" w:tplc="68503B52">
      <w:start w:val="1"/>
      <w:numFmt w:val="low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2601C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0CA7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AA641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E6A6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788A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3277E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48CC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C6AA2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C21AF1"/>
    <w:multiLevelType w:val="hybridMultilevel"/>
    <w:tmpl w:val="8A7AE42A"/>
    <w:lvl w:ilvl="0" w:tplc="A422247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D28A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94C55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3CFCA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0AA36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1CBAB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38A52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5C2E4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7659B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4810D1"/>
    <w:multiLevelType w:val="hybridMultilevel"/>
    <w:tmpl w:val="7EBEA88A"/>
    <w:lvl w:ilvl="0" w:tplc="BB3C5BCE">
      <w:start w:val="1"/>
      <w:numFmt w:val="decimal"/>
      <w:lvlText w:val="%1."/>
      <w:lvlJc w:val="left"/>
      <w:pPr>
        <w:ind w:left="355" w:hanging="360"/>
      </w:pPr>
      <w:rPr>
        <w:rFonts w:hint="default"/>
      </w:rPr>
    </w:lvl>
    <w:lvl w:ilvl="1" w:tplc="040C0019" w:tentative="1">
      <w:start w:val="1"/>
      <w:numFmt w:val="lowerLetter"/>
      <w:lvlText w:val="%2."/>
      <w:lvlJc w:val="left"/>
      <w:pPr>
        <w:ind w:left="1075" w:hanging="360"/>
      </w:pPr>
    </w:lvl>
    <w:lvl w:ilvl="2" w:tplc="040C001B" w:tentative="1">
      <w:start w:val="1"/>
      <w:numFmt w:val="lowerRoman"/>
      <w:lvlText w:val="%3."/>
      <w:lvlJc w:val="right"/>
      <w:pPr>
        <w:ind w:left="1795" w:hanging="180"/>
      </w:pPr>
    </w:lvl>
    <w:lvl w:ilvl="3" w:tplc="040C000F" w:tentative="1">
      <w:start w:val="1"/>
      <w:numFmt w:val="decimal"/>
      <w:lvlText w:val="%4."/>
      <w:lvlJc w:val="left"/>
      <w:pPr>
        <w:ind w:left="2515" w:hanging="360"/>
      </w:pPr>
    </w:lvl>
    <w:lvl w:ilvl="4" w:tplc="040C0019" w:tentative="1">
      <w:start w:val="1"/>
      <w:numFmt w:val="lowerLetter"/>
      <w:lvlText w:val="%5."/>
      <w:lvlJc w:val="left"/>
      <w:pPr>
        <w:ind w:left="3235" w:hanging="360"/>
      </w:pPr>
    </w:lvl>
    <w:lvl w:ilvl="5" w:tplc="040C001B" w:tentative="1">
      <w:start w:val="1"/>
      <w:numFmt w:val="lowerRoman"/>
      <w:lvlText w:val="%6."/>
      <w:lvlJc w:val="right"/>
      <w:pPr>
        <w:ind w:left="3955" w:hanging="180"/>
      </w:pPr>
    </w:lvl>
    <w:lvl w:ilvl="6" w:tplc="040C000F" w:tentative="1">
      <w:start w:val="1"/>
      <w:numFmt w:val="decimal"/>
      <w:lvlText w:val="%7."/>
      <w:lvlJc w:val="left"/>
      <w:pPr>
        <w:ind w:left="4675" w:hanging="360"/>
      </w:pPr>
    </w:lvl>
    <w:lvl w:ilvl="7" w:tplc="040C0019" w:tentative="1">
      <w:start w:val="1"/>
      <w:numFmt w:val="lowerLetter"/>
      <w:lvlText w:val="%8."/>
      <w:lvlJc w:val="left"/>
      <w:pPr>
        <w:ind w:left="5395" w:hanging="360"/>
      </w:pPr>
    </w:lvl>
    <w:lvl w:ilvl="8" w:tplc="040C001B" w:tentative="1">
      <w:start w:val="1"/>
      <w:numFmt w:val="lowerRoman"/>
      <w:lvlText w:val="%9."/>
      <w:lvlJc w:val="right"/>
      <w:pPr>
        <w:ind w:left="6115" w:hanging="180"/>
      </w:pPr>
    </w:lvl>
  </w:abstractNum>
  <w:abstractNum w:abstractNumId="9" w15:restartNumberingAfterBreak="0">
    <w:nsid w:val="3DC606B7"/>
    <w:multiLevelType w:val="hybridMultilevel"/>
    <w:tmpl w:val="909E7E50"/>
    <w:lvl w:ilvl="0" w:tplc="54DE320E">
      <w:start w:val="1"/>
      <w:numFmt w:val="lowerRoman"/>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445BD6">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DE18E8">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60C6BC">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5C3DBC">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3046A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062998">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7C3256">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AAD6D8">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AD5642B"/>
    <w:multiLevelType w:val="hybridMultilevel"/>
    <w:tmpl w:val="3DAC6684"/>
    <w:lvl w:ilvl="0" w:tplc="6ED6A8C0">
      <w:start w:val="1"/>
      <w:numFmt w:val="lowerRoman"/>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18FC5A">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2EA730">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78D0C6">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2C3702">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5601A2">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ECAE88">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24B3AE">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8C3BBC">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111786"/>
    <w:multiLevelType w:val="hybridMultilevel"/>
    <w:tmpl w:val="29A29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25CFF"/>
    <w:multiLevelType w:val="hybridMultilevel"/>
    <w:tmpl w:val="D366904A"/>
    <w:lvl w:ilvl="0" w:tplc="0B283C4E">
      <w:start w:val="1"/>
      <w:numFmt w:val="lowerRoman"/>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1ADBB6">
      <w:start w:val="1"/>
      <w:numFmt w:val="lowerLetter"/>
      <w:lvlText w:val="%2"/>
      <w:lvlJc w:val="left"/>
      <w:pPr>
        <w:ind w:left="1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7693B8">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42D730">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50412A">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A83CB0">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A3698">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B8D62A">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E4B958">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C6C147B"/>
    <w:multiLevelType w:val="hybridMultilevel"/>
    <w:tmpl w:val="B0868E8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FA1191F"/>
    <w:multiLevelType w:val="hybridMultilevel"/>
    <w:tmpl w:val="F486711E"/>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66943461">
    <w:abstractNumId w:val="6"/>
  </w:num>
  <w:num w:numId="2" w16cid:durableId="66071758">
    <w:abstractNumId w:val="2"/>
  </w:num>
  <w:num w:numId="3" w16cid:durableId="1689141737">
    <w:abstractNumId w:val="7"/>
  </w:num>
  <w:num w:numId="4" w16cid:durableId="1281063267">
    <w:abstractNumId w:val="3"/>
  </w:num>
  <w:num w:numId="5" w16cid:durableId="399255764">
    <w:abstractNumId w:val="9"/>
  </w:num>
  <w:num w:numId="6" w16cid:durableId="530992982">
    <w:abstractNumId w:val="10"/>
  </w:num>
  <w:num w:numId="7" w16cid:durableId="141583788">
    <w:abstractNumId w:val="12"/>
  </w:num>
  <w:num w:numId="8" w16cid:durableId="663052396">
    <w:abstractNumId w:val="0"/>
  </w:num>
  <w:num w:numId="9" w16cid:durableId="610938306">
    <w:abstractNumId w:val="8"/>
  </w:num>
  <w:num w:numId="10" w16cid:durableId="204413325">
    <w:abstractNumId w:val="4"/>
  </w:num>
  <w:num w:numId="11" w16cid:durableId="303393921">
    <w:abstractNumId w:val="11"/>
  </w:num>
  <w:num w:numId="12" w16cid:durableId="59255360">
    <w:abstractNumId w:val="13"/>
  </w:num>
  <w:num w:numId="13" w16cid:durableId="163860051">
    <w:abstractNumId w:val="5"/>
  </w:num>
  <w:num w:numId="14" w16cid:durableId="337077441">
    <w:abstractNumId w:val="14"/>
  </w:num>
  <w:num w:numId="15" w16cid:durableId="49565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BF"/>
    <w:rsid w:val="00016A7C"/>
    <w:rsid w:val="0003567D"/>
    <w:rsid w:val="00046F49"/>
    <w:rsid w:val="00091B7A"/>
    <w:rsid w:val="000C0DBF"/>
    <w:rsid w:val="00115FD7"/>
    <w:rsid w:val="00133258"/>
    <w:rsid w:val="00145560"/>
    <w:rsid w:val="00170B6E"/>
    <w:rsid w:val="001E060B"/>
    <w:rsid w:val="00207286"/>
    <w:rsid w:val="00214F8C"/>
    <w:rsid w:val="002D6A5D"/>
    <w:rsid w:val="002E04FD"/>
    <w:rsid w:val="002E116F"/>
    <w:rsid w:val="002E67C4"/>
    <w:rsid w:val="00300C94"/>
    <w:rsid w:val="003217AD"/>
    <w:rsid w:val="00340BCB"/>
    <w:rsid w:val="00386BAD"/>
    <w:rsid w:val="003922E2"/>
    <w:rsid w:val="00395737"/>
    <w:rsid w:val="00396A00"/>
    <w:rsid w:val="003C4984"/>
    <w:rsid w:val="00403B3A"/>
    <w:rsid w:val="004616BC"/>
    <w:rsid w:val="00470FE0"/>
    <w:rsid w:val="004B24E0"/>
    <w:rsid w:val="004C7925"/>
    <w:rsid w:val="00500B6C"/>
    <w:rsid w:val="00520FF3"/>
    <w:rsid w:val="005448B5"/>
    <w:rsid w:val="00575852"/>
    <w:rsid w:val="005770D2"/>
    <w:rsid w:val="00594F70"/>
    <w:rsid w:val="005B3F74"/>
    <w:rsid w:val="005B7E4E"/>
    <w:rsid w:val="005F55E2"/>
    <w:rsid w:val="00603832"/>
    <w:rsid w:val="0061145F"/>
    <w:rsid w:val="00650B6C"/>
    <w:rsid w:val="00653299"/>
    <w:rsid w:val="006A3D2D"/>
    <w:rsid w:val="006A4FED"/>
    <w:rsid w:val="006A7222"/>
    <w:rsid w:val="00705C62"/>
    <w:rsid w:val="00715C23"/>
    <w:rsid w:val="007B3C1E"/>
    <w:rsid w:val="007B40BF"/>
    <w:rsid w:val="007D3D59"/>
    <w:rsid w:val="007D3EDE"/>
    <w:rsid w:val="007D58D8"/>
    <w:rsid w:val="007E659B"/>
    <w:rsid w:val="00805335"/>
    <w:rsid w:val="00851C73"/>
    <w:rsid w:val="00877BB1"/>
    <w:rsid w:val="008A28B9"/>
    <w:rsid w:val="008C353C"/>
    <w:rsid w:val="008D7E9A"/>
    <w:rsid w:val="008E3272"/>
    <w:rsid w:val="008F3C8A"/>
    <w:rsid w:val="00907E44"/>
    <w:rsid w:val="009150BE"/>
    <w:rsid w:val="009D3389"/>
    <w:rsid w:val="009E1EB3"/>
    <w:rsid w:val="00A013B4"/>
    <w:rsid w:val="00A37AE0"/>
    <w:rsid w:val="00A471E3"/>
    <w:rsid w:val="00A83355"/>
    <w:rsid w:val="00AD4407"/>
    <w:rsid w:val="00AE7B2F"/>
    <w:rsid w:val="00B229D8"/>
    <w:rsid w:val="00B851BD"/>
    <w:rsid w:val="00B87561"/>
    <w:rsid w:val="00BA06C3"/>
    <w:rsid w:val="00BE3FA1"/>
    <w:rsid w:val="00C178C0"/>
    <w:rsid w:val="00C37E48"/>
    <w:rsid w:val="00C975C9"/>
    <w:rsid w:val="00D24E9F"/>
    <w:rsid w:val="00D50828"/>
    <w:rsid w:val="00D66B8F"/>
    <w:rsid w:val="00D861A2"/>
    <w:rsid w:val="00E13EA2"/>
    <w:rsid w:val="00E375B8"/>
    <w:rsid w:val="00E43277"/>
    <w:rsid w:val="00E53A6E"/>
    <w:rsid w:val="00E729F2"/>
    <w:rsid w:val="00EA15C4"/>
    <w:rsid w:val="00EB2EBC"/>
    <w:rsid w:val="00ED24FB"/>
    <w:rsid w:val="00ED398F"/>
    <w:rsid w:val="00EF765B"/>
    <w:rsid w:val="00F1437B"/>
    <w:rsid w:val="00F50D02"/>
    <w:rsid w:val="00F71ED9"/>
    <w:rsid w:val="00F80AEE"/>
    <w:rsid w:val="00FE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359726"/>
  <w15:docId w15:val="{4F9B415E-F7B9-4565-B0C4-641A852C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8" w:lineRule="auto"/>
      <w:ind w:left="10" w:right="59"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8"/>
      </w:numPr>
      <w:spacing w:after="8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numPr>
        <w:ilvl w:val="1"/>
        <w:numId w:val="8"/>
      </w:numPr>
      <w:spacing w:after="218"/>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046F49"/>
    <w:pPr>
      <w:ind w:left="720"/>
      <w:contextualSpacing/>
    </w:pPr>
  </w:style>
  <w:style w:type="paragraph" w:styleId="BalloonText">
    <w:name w:val="Balloon Text"/>
    <w:basedOn w:val="Normal"/>
    <w:link w:val="BalloonTextChar"/>
    <w:uiPriority w:val="99"/>
    <w:semiHidden/>
    <w:unhideWhenUsed/>
    <w:rsid w:val="00ED2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4FB"/>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E729F2"/>
    <w:rPr>
      <w:sz w:val="16"/>
      <w:szCs w:val="16"/>
    </w:rPr>
  </w:style>
  <w:style w:type="paragraph" w:styleId="CommentText">
    <w:name w:val="annotation text"/>
    <w:basedOn w:val="Normal"/>
    <w:link w:val="CommentTextChar"/>
    <w:uiPriority w:val="99"/>
    <w:semiHidden/>
    <w:unhideWhenUsed/>
    <w:rsid w:val="00E729F2"/>
    <w:pPr>
      <w:spacing w:line="240" w:lineRule="auto"/>
    </w:pPr>
    <w:rPr>
      <w:sz w:val="20"/>
      <w:szCs w:val="20"/>
    </w:rPr>
  </w:style>
  <w:style w:type="character" w:customStyle="1" w:styleId="CommentTextChar">
    <w:name w:val="Comment Text Char"/>
    <w:basedOn w:val="DefaultParagraphFont"/>
    <w:link w:val="CommentText"/>
    <w:uiPriority w:val="99"/>
    <w:semiHidden/>
    <w:rsid w:val="00E729F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729F2"/>
    <w:rPr>
      <w:b/>
      <w:bCs/>
    </w:rPr>
  </w:style>
  <w:style w:type="character" w:customStyle="1" w:styleId="CommentSubjectChar">
    <w:name w:val="Comment Subject Char"/>
    <w:basedOn w:val="CommentTextChar"/>
    <w:link w:val="CommentSubject"/>
    <w:uiPriority w:val="99"/>
    <w:semiHidden/>
    <w:rsid w:val="00E729F2"/>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383c8-d514-46d9-801f-d9bf9d31236e">
      <Terms xmlns="http://schemas.microsoft.com/office/infopath/2007/PartnerControls"/>
    </lcf76f155ced4ddcb4097134ff3c332f>
    <TaxCatchAll xmlns="d1d1d275-8768-4d4a-979e-aa04a4efa9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8CCB767ECA2945A2972C1B8C4B2FAF" ma:contentTypeVersion="14" ma:contentTypeDescription="Create a new document." ma:contentTypeScope="" ma:versionID="3b89e6419715cc261c64de49832ea87d">
  <xsd:schema xmlns:xsd="http://www.w3.org/2001/XMLSchema" xmlns:xs="http://www.w3.org/2001/XMLSchema" xmlns:p="http://schemas.microsoft.com/office/2006/metadata/properties" xmlns:ns2="60b383c8-d514-46d9-801f-d9bf9d31236e" xmlns:ns3="d1d1d275-8768-4d4a-979e-aa04a4efa952" targetNamespace="http://schemas.microsoft.com/office/2006/metadata/properties" ma:root="true" ma:fieldsID="de1cc85bcf6387031f34ca1355193270" ns2:_="" ns3:_="">
    <xsd:import namespace="60b383c8-d514-46d9-801f-d9bf9d31236e"/>
    <xsd:import namespace="d1d1d275-8768-4d4a-979e-aa04a4efa9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383c8-d514-46d9-801f-d9bf9d312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1d275-8768-4d4a-979e-aa04a4efa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c474ac-1042-4b67-8499-cc006b33c5f0}" ma:internalName="TaxCatchAll" ma:showField="CatchAllData" ma:web="d1d1d275-8768-4d4a-979e-aa04a4efa9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BD692-00CB-46A5-9D26-E3DC0597B3A0}">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metadata/properties"/>
    <ds:schemaRef ds:uri="d1d1d275-8768-4d4a-979e-aa04a4efa952"/>
    <ds:schemaRef ds:uri="60b383c8-d514-46d9-801f-d9bf9d31236e"/>
    <ds:schemaRef ds:uri="http://purl.org/dc/terms/"/>
  </ds:schemaRefs>
</ds:datastoreItem>
</file>

<file path=customXml/itemProps2.xml><?xml version="1.0" encoding="utf-8"?>
<ds:datastoreItem xmlns:ds="http://schemas.openxmlformats.org/officeDocument/2006/customXml" ds:itemID="{A160740E-86A3-47B5-8765-9192C0ED1EE8}">
  <ds:schemaRefs>
    <ds:schemaRef ds:uri="http://schemas.microsoft.com/sharepoint/v3/contenttype/forms"/>
  </ds:schemaRefs>
</ds:datastoreItem>
</file>

<file path=customXml/itemProps3.xml><?xml version="1.0" encoding="utf-8"?>
<ds:datastoreItem xmlns:ds="http://schemas.openxmlformats.org/officeDocument/2006/customXml" ds:itemID="{54D86CD7-2936-40A7-8F21-3A522B8B9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383c8-d514-46d9-801f-d9bf9d31236e"/>
    <ds:schemaRef ds:uri="d1d1d275-8768-4d4a-979e-aa04a4efa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Chotard, Sophie (ESA)</dc:creator>
  <cp:keywords/>
  <cp:lastModifiedBy>DiCocco, Sharon (ESA)</cp:lastModifiedBy>
  <cp:revision>3</cp:revision>
  <dcterms:created xsi:type="dcterms:W3CDTF">2020-05-29T14:15:00Z</dcterms:created>
  <dcterms:modified xsi:type="dcterms:W3CDTF">2024-11-28T16:27:00Z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0x0101009C8CCB767ECA2945A2972C1B8C4B2FAF</vt:lpwstr>
  </property>
  <property fmtid="{D5CDD505-2E9C-101B-9397-08002B2CF9AE}" pid="3" name="MediaServiceImageTags">
    <vt:lpwstr/>
  </property>
</Properties>
</file>