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CECC1" w14:textId="77777777" w:rsidR="00404B57" w:rsidRPr="002F37B7" w:rsidRDefault="00404B57" w:rsidP="00404B57">
      <w:pPr>
        <w:spacing w:after="0" w:line="240" w:lineRule="auto"/>
        <w:jc w:val="both"/>
        <w:rPr>
          <w:rFonts w:ascii="Calibri" w:eastAsia="Arial" w:hAnsi="Calibri" w:cs="Calibri"/>
          <w:b/>
          <w:lang w:val="fr-FR"/>
        </w:rPr>
      </w:pPr>
      <w:r w:rsidRPr="002F37B7">
        <w:rPr>
          <w:rFonts w:ascii="Calibri" w:eastAsia="Arial" w:hAnsi="Calibri" w:cs="Calibri"/>
          <w:b/>
          <w:lang w:val="fr-FR"/>
        </w:rPr>
        <w:t xml:space="preserve">                                                                                                                                                                                                                                                                                                                                                                                                                                                                                                                                                                                                                                                                                                                                                                                     </w:t>
      </w:r>
    </w:p>
    <w:p w14:paraId="4A9CECC2" w14:textId="77777777" w:rsidR="00404B57" w:rsidRPr="00DF4B8D" w:rsidRDefault="00404B57" w:rsidP="00DF4B8D">
      <w:pPr>
        <w:spacing w:after="0" w:line="240" w:lineRule="auto"/>
        <w:jc w:val="center"/>
        <w:rPr>
          <w:b/>
          <w:sz w:val="28"/>
          <w:lang w:val="fr-FR"/>
        </w:rPr>
      </w:pPr>
      <w:r w:rsidRPr="00404B57">
        <w:rPr>
          <w:b/>
          <w:sz w:val="28"/>
          <w:lang w:val="fr-FR"/>
        </w:rPr>
        <w:t>Analyse virtuelle de la malnutrition aiguë dans le contexte de la pandémie COVID-19</w:t>
      </w:r>
    </w:p>
    <w:p w14:paraId="4A9CECC3" w14:textId="77777777" w:rsidR="00404B57" w:rsidRDefault="00404B57" w:rsidP="00404B57">
      <w:pPr>
        <w:spacing w:after="0" w:line="240" w:lineRule="auto"/>
        <w:jc w:val="center"/>
        <w:rPr>
          <w:b/>
          <w:sz w:val="28"/>
          <w:lang w:val="en-GB"/>
        </w:rPr>
      </w:pPr>
      <w:r w:rsidRPr="005A1A9A">
        <w:rPr>
          <w:b/>
          <w:sz w:val="28"/>
          <w:lang w:val="en-GB"/>
        </w:rPr>
        <w:t>Note conceptuelle</w:t>
      </w:r>
    </w:p>
    <w:p w14:paraId="4A9CECC4" w14:textId="77777777" w:rsidR="00404B57" w:rsidRPr="00404B57" w:rsidRDefault="00404B57" w:rsidP="00404B57">
      <w:pPr>
        <w:pBdr>
          <w:bottom w:val="single" w:sz="12" w:space="1" w:color="auto"/>
        </w:pBdr>
        <w:spacing w:after="0" w:line="240" w:lineRule="auto"/>
        <w:jc w:val="both"/>
        <w:rPr>
          <w:rFonts w:ascii="Calibri" w:eastAsia="Arial" w:hAnsi="Calibri" w:cs="Calibri"/>
          <w:b/>
          <w:caps/>
          <w:sz w:val="12"/>
          <w:lang w:val="en-GB"/>
        </w:rPr>
      </w:pPr>
    </w:p>
    <w:p w14:paraId="4A9CECC5" w14:textId="77777777" w:rsidR="00404B57" w:rsidRPr="002D6A5D" w:rsidRDefault="00404B57" w:rsidP="00DF4B8D">
      <w:pPr>
        <w:spacing w:after="0" w:line="240" w:lineRule="auto"/>
        <w:rPr>
          <w:lang w:val="en-GB"/>
        </w:rPr>
      </w:pPr>
    </w:p>
    <w:p w14:paraId="4A9CECC6" w14:textId="77777777" w:rsidR="00404B57" w:rsidRPr="002D6A5D" w:rsidRDefault="00404B57" w:rsidP="00404B57">
      <w:pPr>
        <w:pStyle w:val="Heading1"/>
        <w:spacing w:after="0" w:line="240" w:lineRule="auto"/>
        <w:ind w:left="256" w:hanging="271"/>
        <w:rPr>
          <w:lang w:val="en-GB"/>
        </w:rPr>
      </w:pPr>
      <w:r>
        <w:rPr>
          <w:lang w:val="en-GB"/>
        </w:rPr>
        <w:t>Justification</w:t>
      </w:r>
    </w:p>
    <w:p w14:paraId="4A9CECC7" w14:textId="77777777" w:rsidR="00C443DD" w:rsidRPr="00CF73F5" w:rsidRDefault="00C443DD" w:rsidP="00C443DD">
      <w:pPr>
        <w:spacing w:after="0" w:line="240" w:lineRule="auto"/>
        <w:jc w:val="both"/>
        <w:rPr>
          <w:lang w:val="fr-FR"/>
        </w:rPr>
      </w:pPr>
      <w:r w:rsidRPr="00CF73F5">
        <w:rPr>
          <w:lang w:val="fr-FR"/>
        </w:rPr>
        <w:t xml:space="preserve">La pandémie COVID-19 a un impact sans précédent dans le monde entier. Non seulement elle implique un renforcement de la préparation et de la réponse de la santé publique et la protection des populations vulnérables, mais elle nécessite également d'atténuer l'impact social et économique plus large sur la population.  La pandémie peut également affecter la fourniture de l'aide humanitaire en raison des restrictions de transport, de la réduction des ressources financières compte tenu de la nécessité de soutenir les efforts de COVID-19, etc. Cela peut avoir des conséquences majeures pour les populations qui dépendent fortement de l'aide humanitaire. </w:t>
      </w:r>
    </w:p>
    <w:p w14:paraId="4A9CECC8" w14:textId="77777777" w:rsidR="00C443DD" w:rsidRPr="00CF73F5" w:rsidRDefault="00C443DD" w:rsidP="00C443DD">
      <w:pPr>
        <w:spacing w:after="0" w:line="240" w:lineRule="auto"/>
        <w:jc w:val="both"/>
        <w:rPr>
          <w:lang w:val="fr-FR"/>
        </w:rPr>
      </w:pPr>
    </w:p>
    <w:p w14:paraId="4A9CECC9" w14:textId="77777777" w:rsidR="00C443DD" w:rsidRPr="00CF73F5" w:rsidRDefault="00C443DD" w:rsidP="00C443DD">
      <w:pPr>
        <w:spacing w:after="0" w:line="240" w:lineRule="auto"/>
        <w:jc w:val="both"/>
        <w:rPr>
          <w:lang w:val="fr-FR"/>
        </w:rPr>
      </w:pPr>
      <w:r w:rsidRPr="00CF73F5">
        <w:rPr>
          <w:lang w:val="fr-FR"/>
        </w:rPr>
        <w:t>L'IPC a joué un rôle majeur dans les décisions relatives à l'allocation des ressources et à la programmation de la sécurité alimentaire et de la nutrition dans 30 pays. Dans le contexte actuel, ce rôle est devenu encore plus crucial. La réalisation d'une analyse IPC implique généralement de rassembler des personnes de différentes régions du pays dans un lieu central et de faire appel à des experts IPC de la région pour fournir une assistance technique. Dans le contexte actuel de confinement et de restrictions des déplacements, cette approche n'est pas réalisable. En tirant parti des technologies et des outils existants, l'initiative IPC ente</w:t>
      </w:r>
      <w:r>
        <w:rPr>
          <w:lang w:val="fr-FR"/>
        </w:rPr>
        <w:t xml:space="preserve">nd poursuivre les activités </w:t>
      </w:r>
      <w:r w:rsidRPr="00CF73F5">
        <w:rPr>
          <w:lang w:val="fr-FR"/>
        </w:rPr>
        <w:t>de manière virtuelle, sans mettre les personnes en danger.</w:t>
      </w:r>
    </w:p>
    <w:p w14:paraId="4A9CECCA" w14:textId="77777777" w:rsidR="00C443DD" w:rsidRPr="00CF73F5" w:rsidRDefault="00C443DD" w:rsidP="00C443DD">
      <w:pPr>
        <w:spacing w:after="0" w:line="240" w:lineRule="auto"/>
        <w:jc w:val="both"/>
        <w:rPr>
          <w:lang w:val="fr-FR"/>
        </w:rPr>
      </w:pPr>
    </w:p>
    <w:p w14:paraId="4A9CECCB" w14:textId="77777777" w:rsidR="00C443DD" w:rsidRPr="00CF73F5" w:rsidRDefault="00C443DD" w:rsidP="00C443DD">
      <w:pPr>
        <w:spacing w:after="0" w:line="240" w:lineRule="auto"/>
        <w:jc w:val="both"/>
        <w:rPr>
          <w:lang w:val="fr-FR"/>
        </w:rPr>
      </w:pPr>
      <w:r>
        <w:rPr>
          <w:lang w:val="fr-FR"/>
        </w:rPr>
        <w:t>Dans ce document, le Global Support Unit (GSU</w:t>
      </w:r>
      <w:r w:rsidRPr="00CF73F5">
        <w:rPr>
          <w:lang w:val="fr-FR"/>
        </w:rPr>
        <w:t>) de l'IPC fournit des conseils sur la manière d'organiser et de réaliser les analyses de l'IPC AMN par le biais de modalités virtuelles.</w:t>
      </w:r>
    </w:p>
    <w:p w14:paraId="4A9CECCC" w14:textId="77777777" w:rsidR="00404B57" w:rsidRPr="00404B57" w:rsidRDefault="00404B57" w:rsidP="00404B57">
      <w:pPr>
        <w:spacing w:after="0" w:line="240" w:lineRule="auto"/>
        <w:rPr>
          <w:lang w:val="fr-FR"/>
        </w:rPr>
      </w:pPr>
    </w:p>
    <w:p w14:paraId="4A9CECCD" w14:textId="77777777" w:rsidR="00404B57" w:rsidRPr="002D6A5D" w:rsidRDefault="00404B57" w:rsidP="00404B57">
      <w:pPr>
        <w:pStyle w:val="Heading1"/>
        <w:spacing w:after="0" w:line="240" w:lineRule="auto"/>
        <w:ind w:left="256" w:hanging="271"/>
        <w:jc w:val="both"/>
        <w:rPr>
          <w:lang w:val="en-GB"/>
        </w:rPr>
      </w:pPr>
      <w:r w:rsidRPr="002D6A5D">
        <w:rPr>
          <w:lang w:val="en-GB"/>
        </w:rPr>
        <w:t>Objecti</w:t>
      </w:r>
      <w:r>
        <w:rPr>
          <w:lang w:val="en-GB"/>
        </w:rPr>
        <w:t>f</w:t>
      </w:r>
      <w:r w:rsidRPr="002D6A5D">
        <w:rPr>
          <w:lang w:val="en-GB"/>
        </w:rPr>
        <w:t xml:space="preserve"> </w:t>
      </w:r>
    </w:p>
    <w:p w14:paraId="4A9CECCE" w14:textId="77777777" w:rsidR="00C443DD" w:rsidRPr="00CF73F5" w:rsidRDefault="00C443DD" w:rsidP="00C443DD">
      <w:pPr>
        <w:spacing w:after="0" w:line="240" w:lineRule="auto"/>
        <w:ind w:left="-5" w:right="48"/>
        <w:jc w:val="both"/>
        <w:rPr>
          <w:lang w:val="fr-FR"/>
        </w:rPr>
      </w:pPr>
      <w:r w:rsidRPr="00CF73F5">
        <w:rPr>
          <w:lang w:val="fr-FR"/>
        </w:rPr>
        <w:t xml:space="preserve">L'objectif principal de l'analyse virtuel </w:t>
      </w:r>
      <w:r>
        <w:rPr>
          <w:lang w:val="fr-FR"/>
        </w:rPr>
        <w:t xml:space="preserve">de l’IPC AMN </w:t>
      </w:r>
      <w:r w:rsidRPr="00CF73F5">
        <w:rPr>
          <w:lang w:val="fr-FR"/>
        </w:rPr>
        <w:t>est de s'assurer que l'IPC continue à fournir aux décideurs des informations utiles sur la malnutrition aiguë en temps utile. Cela implique l'introduction de processus spécifiques et efficaces au niveau des pays, tout en assurant la conformité avec les protocoles de l'IPC, y compris la fonction 1 de l'IPC (Promouvoir un consensus technique). Il est important de noter que l'IPC restera un processus appartenant aux pays, ce qui garantira l'engagement constant des analystes.</w:t>
      </w:r>
    </w:p>
    <w:p w14:paraId="4A9CECCF" w14:textId="77777777" w:rsidR="00C443DD" w:rsidRPr="00CF73F5" w:rsidRDefault="00C443DD" w:rsidP="00C443DD">
      <w:pPr>
        <w:spacing w:after="0" w:line="240" w:lineRule="auto"/>
        <w:ind w:left="-5" w:right="48"/>
        <w:rPr>
          <w:lang w:val="fr-FR"/>
        </w:rPr>
      </w:pPr>
    </w:p>
    <w:p w14:paraId="4A9CECD0" w14:textId="77777777" w:rsidR="00404B57" w:rsidRPr="00404B57" w:rsidRDefault="00C443DD" w:rsidP="00C443DD">
      <w:pPr>
        <w:spacing w:after="0" w:line="240" w:lineRule="auto"/>
        <w:ind w:left="-5" w:right="48"/>
        <w:rPr>
          <w:lang w:val="fr-FR"/>
        </w:rPr>
      </w:pPr>
      <w:r>
        <w:rPr>
          <w:lang w:val="fr-FR"/>
        </w:rPr>
        <w:t>Le GSU-</w:t>
      </w:r>
      <w:r w:rsidRPr="00CF73F5">
        <w:rPr>
          <w:lang w:val="fr-FR"/>
        </w:rPr>
        <w:t>IPC fournira un soutien à distance aux GTTs des pays dans le but de garantir un processus neutre et de produire des analyses de haute qualité. Le niveau d'engageme</w:t>
      </w:r>
      <w:r>
        <w:rPr>
          <w:lang w:val="fr-FR"/>
        </w:rPr>
        <w:t>nt du GSU</w:t>
      </w:r>
      <w:r w:rsidRPr="00CF73F5">
        <w:rPr>
          <w:lang w:val="fr-FR"/>
        </w:rPr>
        <w:t xml:space="preserve"> auprès des équipes d'analyse sera adapté aux besoins des pays, à leur capacité et au nombre de domaines à analyser</w:t>
      </w:r>
    </w:p>
    <w:p w14:paraId="4A9CECD1" w14:textId="77777777" w:rsidR="00404B57" w:rsidRPr="00404B57" w:rsidRDefault="00404B57" w:rsidP="00404B57">
      <w:pPr>
        <w:spacing w:after="0" w:line="240" w:lineRule="auto"/>
        <w:rPr>
          <w:lang w:val="fr-FR"/>
        </w:rPr>
      </w:pPr>
    </w:p>
    <w:p w14:paraId="4A9CECD2" w14:textId="77777777" w:rsidR="00404B57" w:rsidRPr="002D6A5D" w:rsidRDefault="00404B57" w:rsidP="00404B57">
      <w:pPr>
        <w:pStyle w:val="Heading1"/>
        <w:spacing w:after="0" w:line="240" w:lineRule="auto"/>
        <w:ind w:left="227" w:hanging="242"/>
        <w:rPr>
          <w:lang w:val="en-GB"/>
        </w:rPr>
      </w:pPr>
      <w:r w:rsidRPr="005A1A9A">
        <w:rPr>
          <w:lang w:val="en-GB"/>
        </w:rPr>
        <w:t xml:space="preserve">Modalités de mise en œuvre </w:t>
      </w:r>
      <w:r w:rsidRPr="002D6A5D">
        <w:rPr>
          <w:rFonts w:ascii="Arial" w:eastAsia="Arial" w:hAnsi="Arial" w:cs="Arial"/>
          <w:lang w:val="en-GB"/>
        </w:rPr>
        <w:t xml:space="preserve"> </w:t>
      </w:r>
      <w:r w:rsidRPr="002D6A5D">
        <w:rPr>
          <w:lang w:val="en-GB"/>
        </w:rPr>
        <w:t xml:space="preserve"> </w:t>
      </w:r>
    </w:p>
    <w:p w14:paraId="4A9CECD3" w14:textId="77777777" w:rsidR="00404B57" w:rsidRDefault="00404B57" w:rsidP="00404B57">
      <w:pPr>
        <w:spacing w:after="0" w:line="240" w:lineRule="auto"/>
        <w:ind w:left="-5" w:right="48"/>
        <w:rPr>
          <w:b/>
          <w:bCs/>
          <w:lang w:val="en-GB"/>
        </w:rPr>
      </w:pPr>
      <w:r w:rsidRPr="005A1A9A">
        <w:rPr>
          <w:b/>
          <w:bCs/>
          <w:lang w:val="en-GB"/>
        </w:rPr>
        <w:t>a) Parties prenantes</w:t>
      </w:r>
    </w:p>
    <w:p w14:paraId="4A9CECD4" w14:textId="77777777" w:rsidR="00404B57" w:rsidRPr="00404B57" w:rsidRDefault="00404B57" w:rsidP="00606DF1">
      <w:pPr>
        <w:spacing w:after="0" w:line="240" w:lineRule="auto"/>
        <w:ind w:left="-5" w:right="48"/>
        <w:jc w:val="both"/>
        <w:rPr>
          <w:lang w:val="fr-FR"/>
        </w:rPr>
      </w:pPr>
      <w:r w:rsidRPr="00404B57">
        <w:rPr>
          <w:lang w:val="fr-FR"/>
        </w:rPr>
        <w:t xml:space="preserve">Tout en maintenant le consensus technique au cœur des analyses "virtuelles" de l'IPC, il est important de s'assurer que le processus est à la fois gérable et efficace. À cette fin, un nombre réduit d'analystes </w:t>
      </w:r>
      <w:r w:rsidR="00FF4155">
        <w:rPr>
          <w:lang w:val="fr-FR"/>
        </w:rPr>
        <w:t>(c'est-à-dire un noyau restreint</w:t>
      </w:r>
      <w:r w:rsidRPr="00404B57">
        <w:rPr>
          <w:lang w:val="fr-FR"/>
        </w:rPr>
        <w:t>) sera chargé de mener à bien toutes les étapes du processus d'analyse de l'IPC et de produire des conclusions préliminaires. Un groupe plus large d'analystes sera engagé à des étapes spécifiques du processus, par exemple pour fournir un retour d'information sur les classifications préliminaires</w:t>
      </w:r>
      <w:r w:rsidR="00FF4155">
        <w:rPr>
          <w:lang w:val="fr-FR"/>
        </w:rPr>
        <w:t xml:space="preserve"> produites par l'équipe restreinte</w:t>
      </w:r>
      <w:r w:rsidRPr="00404B57">
        <w:rPr>
          <w:lang w:val="fr-FR"/>
        </w:rPr>
        <w:t>. L'équipe de facilitation jouera un rôle crucial en soutenant ce processus et en assurant la conformité avec les protocoles IPC.</w:t>
      </w:r>
    </w:p>
    <w:p w14:paraId="4A9CECD5" w14:textId="77777777" w:rsidR="00404B57" w:rsidRPr="00404B57" w:rsidRDefault="00404B57" w:rsidP="00404B57">
      <w:pPr>
        <w:spacing w:after="0" w:line="240" w:lineRule="auto"/>
        <w:ind w:left="-5" w:right="48"/>
        <w:rPr>
          <w:lang w:val="fr-FR"/>
        </w:rPr>
      </w:pPr>
    </w:p>
    <w:p w14:paraId="4A9CECD6" w14:textId="77777777" w:rsidR="00404B57" w:rsidRDefault="00404B57" w:rsidP="00404B57">
      <w:pPr>
        <w:spacing w:after="0" w:line="240" w:lineRule="auto"/>
        <w:ind w:right="48"/>
        <w:rPr>
          <w:lang w:val="fr-FR"/>
        </w:rPr>
      </w:pPr>
      <w:r w:rsidRPr="00404B57">
        <w:rPr>
          <w:lang w:val="fr-FR"/>
        </w:rPr>
        <w:t>Les principaux acteurs du processus d'analyse virtuelle de</w:t>
      </w:r>
      <w:r w:rsidR="00BF1DCD">
        <w:rPr>
          <w:lang w:val="fr-FR"/>
        </w:rPr>
        <w:t xml:space="preserve"> l'IPC sont décrits ci-dessous : </w:t>
      </w:r>
    </w:p>
    <w:p w14:paraId="4A9CECD7" w14:textId="77777777" w:rsidR="00BF1DCD" w:rsidRPr="00404B57" w:rsidRDefault="00BF1DCD" w:rsidP="00404B57">
      <w:pPr>
        <w:spacing w:after="0" w:line="240" w:lineRule="auto"/>
        <w:ind w:right="48"/>
        <w:rPr>
          <w:lang w:val="fr-FR"/>
        </w:rPr>
      </w:pPr>
    </w:p>
    <w:p w14:paraId="4A9CECD8" w14:textId="77777777" w:rsidR="00404B57" w:rsidRPr="00404B57" w:rsidRDefault="00404B57" w:rsidP="00404B57">
      <w:pPr>
        <w:pStyle w:val="ListParagraph"/>
        <w:numPr>
          <w:ilvl w:val="0"/>
          <w:numId w:val="14"/>
        </w:numPr>
        <w:spacing w:after="0" w:line="240" w:lineRule="auto"/>
        <w:ind w:right="48"/>
        <w:rPr>
          <w:lang w:val="fr-FR"/>
        </w:rPr>
      </w:pPr>
      <w:r w:rsidRPr="00370018">
        <w:rPr>
          <w:b/>
          <w:bCs/>
          <w:lang w:val="fr-FR"/>
        </w:rPr>
        <w:t>Le facilitateur principal</w:t>
      </w:r>
      <w:r w:rsidRPr="00370018">
        <w:rPr>
          <w:lang w:val="fr-FR"/>
        </w:rPr>
        <w:t xml:space="preserve"> (certifi</w:t>
      </w:r>
      <w:r w:rsidR="00BF1DCD">
        <w:rPr>
          <w:lang w:val="fr-FR"/>
        </w:rPr>
        <w:t>é au niveau 3 de l'IPC par le GSU</w:t>
      </w:r>
      <w:r w:rsidRPr="00370018">
        <w:rPr>
          <w:lang w:val="fr-FR"/>
        </w:rPr>
        <w:t xml:space="preserve"> de l'IPC) : Par l'intermédiaire du </w:t>
      </w:r>
      <w:r w:rsidR="00BF1DCD">
        <w:rPr>
          <w:lang w:val="fr-FR"/>
        </w:rPr>
        <w:t>facilitateur principal, le GSU</w:t>
      </w:r>
      <w:r w:rsidRPr="00370018">
        <w:rPr>
          <w:lang w:val="fr-FR"/>
        </w:rPr>
        <w:t xml:space="preserve"> fournira des conseils sur les questions techniques et les processus dans le but de produire des analyses de haute qualité conformes aux protocoles IPC, y compris le consensus technique. </w:t>
      </w:r>
      <w:r w:rsidRPr="00404B57">
        <w:rPr>
          <w:lang w:val="fr-FR"/>
        </w:rPr>
        <w:t xml:space="preserve">Cela impliquera de soutenir et de guider l'analyse virtuelle de l'IPC tout au long du processus, étape par étape.  </w:t>
      </w:r>
    </w:p>
    <w:p w14:paraId="4A9CECD9" w14:textId="77777777" w:rsidR="00404B57" w:rsidRPr="00404B57" w:rsidRDefault="00404B57" w:rsidP="00404B57">
      <w:pPr>
        <w:spacing w:after="0" w:line="240" w:lineRule="auto"/>
        <w:ind w:right="48"/>
        <w:rPr>
          <w:lang w:val="fr-FR"/>
        </w:rPr>
      </w:pPr>
    </w:p>
    <w:p w14:paraId="4A9CECDA" w14:textId="77777777" w:rsidR="00404B57" w:rsidRPr="00404B57" w:rsidRDefault="00404B57" w:rsidP="00404B57">
      <w:pPr>
        <w:pStyle w:val="ListParagraph"/>
        <w:numPr>
          <w:ilvl w:val="0"/>
          <w:numId w:val="14"/>
        </w:numPr>
        <w:spacing w:after="0" w:line="240" w:lineRule="auto"/>
        <w:ind w:right="48"/>
        <w:rPr>
          <w:lang w:val="fr-FR"/>
        </w:rPr>
      </w:pPr>
      <w:r w:rsidRPr="00370018">
        <w:rPr>
          <w:b/>
          <w:bCs/>
          <w:lang w:val="fr-FR"/>
        </w:rPr>
        <w:t>L'équipe de facilitation du pays</w:t>
      </w:r>
      <w:r w:rsidRPr="00370018">
        <w:rPr>
          <w:lang w:val="fr-FR"/>
        </w:rPr>
        <w:t xml:space="preserve"> : Cette équipe sera composée de quelques co-facilitateurs IPC expérimentés qui superviseront le travail de l'équipe d'analyse IPC, qui sera divisée en petits groupes. </w:t>
      </w:r>
      <w:r w:rsidRPr="00404B57">
        <w:rPr>
          <w:lang w:val="fr-FR"/>
        </w:rPr>
        <w:t xml:space="preserve">Chaque membre de l'équipe de facilitation (co-facilitateur) dirigera ainsi un petit groupe d'analystes travaillant sur une zone spécifique (par exemple, une région) du pays.  Comme dans </w:t>
      </w:r>
      <w:r w:rsidR="00BF1DCD">
        <w:rPr>
          <w:lang w:val="fr-FR"/>
        </w:rPr>
        <w:t>les ateliers présentiels d'analyse</w:t>
      </w:r>
      <w:r w:rsidRPr="00404B57">
        <w:rPr>
          <w:lang w:val="fr-FR"/>
        </w:rPr>
        <w:t>, l'équipe de facilitation du pays sera chargée de préparer l'analyse et de veiller à ce que les zones du pays attribuées à chaque co-facilitateur/groupe soient analysées conformément aux protocoles IPC et dans les délais fixés. Dans les pays où le nombre de personnes répondant aux critères de co-fac</w:t>
      </w:r>
      <w:r w:rsidR="00BF1DCD">
        <w:rPr>
          <w:lang w:val="fr-FR"/>
        </w:rPr>
        <w:t>ilitation est insuffisant, le GSU</w:t>
      </w:r>
      <w:r w:rsidRPr="00404B57">
        <w:rPr>
          <w:lang w:val="fr-FR"/>
        </w:rPr>
        <w:t xml:space="preserve"> fournira des co-facilitateurs issus de son pool d'experts mondiaux et régionaux. La capacité et la pluralité seront les principaux critères pour la composition de ce groupe.</w:t>
      </w:r>
    </w:p>
    <w:p w14:paraId="4A9CECDB" w14:textId="77777777" w:rsidR="00404B57" w:rsidRPr="00404B57" w:rsidRDefault="00404B57" w:rsidP="00404B57">
      <w:pPr>
        <w:pStyle w:val="ListParagraph"/>
        <w:rPr>
          <w:b/>
          <w:lang w:val="fr-FR"/>
        </w:rPr>
      </w:pPr>
    </w:p>
    <w:p w14:paraId="4A9CECDC" w14:textId="77777777" w:rsidR="00404B57" w:rsidRPr="00370018" w:rsidRDefault="00404B57" w:rsidP="00404B57">
      <w:pPr>
        <w:pStyle w:val="ListParagraph"/>
        <w:numPr>
          <w:ilvl w:val="0"/>
          <w:numId w:val="14"/>
        </w:numPr>
        <w:spacing w:after="0" w:line="240" w:lineRule="auto"/>
        <w:ind w:right="48"/>
        <w:rPr>
          <w:lang w:val="fr-FR"/>
        </w:rPr>
      </w:pPr>
      <w:r w:rsidRPr="00370018">
        <w:rPr>
          <w:b/>
          <w:bCs/>
          <w:lang w:val="fr-FR"/>
        </w:rPr>
        <w:t>L'équipe centrale d'analyse</w:t>
      </w:r>
      <w:r w:rsidRPr="00370018">
        <w:rPr>
          <w:lang w:val="fr-FR"/>
        </w:rPr>
        <w:t xml:space="preserve"> : Le GTT IPC du pays et le Cluster Nutrition identifieront un maximum de 15-20 analys</w:t>
      </w:r>
      <w:r w:rsidR="006554EC">
        <w:rPr>
          <w:lang w:val="fr-FR"/>
        </w:rPr>
        <w:t>tes (selon le nombre d’unité</w:t>
      </w:r>
      <w:r w:rsidRPr="00370018">
        <w:rPr>
          <w:lang w:val="fr-FR"/>
        </w:rPr>
        <w:t xml:space="preserve"> à analyser) pour former l'équipe d'analyse de base. Les membres de ce groupe seront sé</w:t>
      </w:r>
      <w:r w:rsidR="006554EC">
        <w:rPr>
          <w:lang w:val="fr-FR"/>
        </w:rPr>
        <w:t>lectionnés par le GTT/</w:t>
      </w:r>
      <w:r w:rsidRPr="00370018">
        <w:rPr>
          <w:lang w:val="fr-FR"/>
        </w:rPr>
        <w:t>Cluster</w:t>
      </w:r>
      <w:r w:rsidR="006554EC">
        <w:rPr>
          <w:lang w:val="fr-FR"/>
        </w:rPr>
        <w:t xml:space="preserve"> Nutrition</w:t>
      </w:r>
      <w:r w:rsidRPr="00370018">
        <w:rPr>
          <w:lang w:val="fr-FR"/>
        </w:rPr>
        <w:t xml:space="preserve">, sur la base </w:t>
      </w:r>
      <w:r w:rsidR="006554EC">
        <w:rPr>
          <w:lang w:val="fr-FR"/>
        </w:rPr>
        <w:t>des orientations fournies par le GSU</w:t>
      </w:r>
      <w:r w:rsidRPr="00370018">
        <w:rPr>
          <w:lang w:val="fr-FR"/>
        </w:rPr>
        <w:t>, en tenant compte de leur niveau de certification, de leur expérience en IPC AMN, de leur disponibilité/accès à Internet et de leur compétence dans l'utilisation des outils de collaboration</w:t>
      </w:r>
      <w:r w:rsidR="006554EC">
        <w:rPr>
          <w:lang w:val="fr-FR"/>
        </w:rPr>
        <w:t xml:space="preserve"> à distance</w:t>
      </w:r>
      <w:r w:rsidRPr="00370018">
        <w:rPr>
          <w:lang w:val="fr-FR"/>
        </w:rPr>
        <w:t>. L'équipe centrale</w:t>
      </w:r>
      <w:r w:rsidR="006554EC">
        <w:rPr>
          <w:lang w:val="fr-FR"/>
        </w:rPr>
        <w:t>/restreinte</w:t>
      </w:r>
      <w:r w:rsidRPr="00370018">
        <w:rPr>
          <w:lang w:val="fr-FR"/>
        </w:rPr>
        <w:t xml:space="preserve"> d'analyse de l'IPC sera divisée en petits groupes de 2 à 3 personnes représentant différentes institutions (gouvernement, agences des Nations Unies, ONG).  C</w:t>
      </w:r>
      <w:r w:rsidR="00C55D08">
        <w:rPr>
          <w:lang w:val="fr-FR"/>
        </w:rPr>
        <w:t>haque petit groupe sera appuyé</w:t>
      </w:r>
      <w:r w:rsidRPr="00370018">
        <w:rPr>
          <w:lang w:val="fr-FR"/>
        </w:rPr>
        <w:t xml:space="preserve"> par un co-facilitateur et sera chargé de mener l'analyse pour un groupe donné de domaines (unités d'analyse) sur une base consensuelle. La capacité et la pluralité seront les principaux critères pour la composition</w:t>
      </w:r>
      <w:r w:rsidR="00C55D08">
        <w:rPr>
          <w:lang w:val="fr-FR"/>
        </w:rPr>
        <w:t xml:space="preserve"> de ce groupe. L'équipe restreinte</w:t>
      </w:r>
      <w:r w:rsidRPr="00370018">
        <w:rPr>
          <w:lang w:val="fr-FR"/>
        </w:rPr>
        <w:t xml:space="preserve"> d'analyse doit être constituée en ten</w:t>
      </w:r>
      <w:r w:rsidR="00C55D08">
        <w:rPr>
          <w:lang w:val="fr-FR"/>
        </w:rPr>
        <w:t>ant compte de 4 critères principaux</w:t>
      </w:r>
      <w:r w:rsidRPr="00370018">
        <w:rPr>
          <w:lang w:val="fr-FR"/>
        </w:rPr>
        <w:t xml:space="preserve"> :</w:t>
      </w:r>
    </w:p>
    <w:p w14:paraId="4A9CECDD" w14:textId="77777777" w:rsidR="00404B57" w:rsidRPr="00370018" w:rsidRDefault="00404B57" w:rsidP="00404B57">
      <w:pPr>
        <w:pStyle w:val="ListParagraph"/>
        <w:numPr>
          <w:ilvl w:val="0"/>
          <w:numId w:val="13"/>
        </w:numPr>
        <w:spacing w:after="0" w:line="240" w:lineRule="auto"/>
        <w:rPr>
          <w:rFonts w:asciiTheme="minorHAnsi" w:hAnsiTheme="minorHAnsi" w:cstheme="minorHAnsi"/>
          <w:sz w:val="20"/>
          <w:szCs w:val="20"/>
          <w:lang w:val="fr-FR"/>
        </w:rPr>
      </w:pPr>
      <w:r w:rsidRPr="00370018">
        <w:rPr>
          <w:rFonts w:asciiTheme="minorHAnsi" w:hAnsiTheme="minorHAnsi" w:cstheme="minorHAnsi"/>
          <w:b/>
          <w:bCs/>
          <w:sz w:val="20"/>
          <w:szCs w:val="20"/>
          <w:lang w:val="fr-FR"/>
        </w:rPr>
        <w:t>Expérience antérieure avec l'IPC AMN</w:t>
      </w:r>
      <w:r w:rsidRPr="00370018">
        <w:rPr>
          <w:rFonts w:asciiTheme="minorHAnsi" w:hAnsiTheme="minorHAnsi" w:cstheme="minorHAnsi"/>
          <w:sz w:val="20"/>
          <w:szCs w:val="20"/>
          <w:lang w:val="fr-FR"/>
        </w:rPr>
        <w:t xml:space="preserve"> : niveau de certification, rôle occupé dans les analyses antérieures, proactivité dans les analyses antérieures, aptitude à utiliser les outils d'analyse IPC AMN </w:t>
      </w:r>
    </w:p>
    <w:p w14:paraId="4A9CECDE" w14:textId="77777777" w:rsidR="00404B57" w:rsidRPr="00370018" w:rsidRDefault="00404B57" w:rsidP="00404B57">
      <w:pPr>
        <w:pStyle w:val="ListParagraph"/>
        <w:numPr>
          <w:ilvl w:val="0"/>
          <w:numId w:val="13"/>
        </w:numPr>
        <w:spacing w:after="0" w:line="240" w:lineRule="auto"/>
        <w:rPr>
          <w:rFonts w:asciiTheme="minorHAnsi" w:hAnsiTheme="minorHAnsi" w:cstheme="minorHAnsi"/>
          <w:sz w:val="20"/>
          <w:szCs w:val="20"/>
          <w:lang w:val="fr-FR"/>
        </w:rPr>
      </w:pPr>
      <w:r w:rsidRPr="00370018">
        <w:rPr>
          <w:rFonts w:asciiTheme="minorHAnsi" w:hAnsiTheme="minorHAnsi" w:cstheme="minorHAnsi"/>
          <w:b/>
          <w:bCs/>
          <w:sz w:val="20"/>
          <w:szCs w:val="20"/>
          <w:lang w:val="fr-FR"/>
        </w:rPr>
        <w:t>Pluralité</w:t>
      </w:r>
      <w:r w:rsidRPr="00370018">
        <w:rPr>
          <w:rFonts w:asciiTheme="minorHAnsi" w:hAnsiTheme="minorHAnsi" w:cstheme="minorHAnsi"/>
          <w:sz w:val="20"/>
          <w:szCs w:val="20"/>
          <w:lang w:val="fr-FR"/>
        </w:rPr>
        <w:t xml:space="preserve"> : pour garantir que</w:t>
      </w:r>
      <w:r w:rsidR="005A59DF">
        <w:rPr>
          <w:rFonts w:asciiTheme="minorHAnsi" w:hAnsiTheme="minorHAnsi" w:cstheme="minorHAnsi"/>
          <w:sz w:val="20"/>
          <w:szCs w:val="20"/>
          <w:lang w:val="fr-FR"/>
        </w:rPr>
        <w:t>, malgré la réduction de l’effectif</w:t>
      </w:r>
      <w:r w:rsidRPr="00370018">
        <w:rPr>
          <w:rFonts w:asciiTheme="minorHAnsi" w:hAnsiTheme="minorHAnsi" w:cstheme="minorHAnsi"/>
          <w:sz w:val="20"/>
          <w:szCs w:val="20"/>
          <w:lang w:val="fr-FR"/>
        </w:rPr>
        <w:t xml:space="preserve"> de l'EA, la fonction 1 (Promouvoir un consensus technique) soit respectée, la grande majorité des partenaires opérant dans le secteur de la nutrition dans le pays devrait être représentée</w:t>
      </w:r>
      <w:r w:rsidR="002517B2">
        <w:rPr>
          <w:rFonts w:asciiTheme="minorHAnsi" w:hAnsiTheme="minorHAnsi" w:cstheme="minorHAnsi"/>
          <w:sz w:val="20"/>
          <w:szCs w:val="20"/>
          <w:lang w:val="fr-FR"/>
        </w:rPr>
        <w:t>.</w:t>
      </w:r>
    </w:p>
    <w:p w14:paraId="4A9CECDF" w14:textId="77777777" w:rsidR="00404B57" w:rsidRPr="00370018" w:rsidRDefault="00404B57" w:rsidP="00404B57">
      <w:pPr>
        <w:pStyle w:val="ListParagraph"/>
        <w:numPr>
          <w:ilvl w:val="0"/>
          <w:numId w:val="13"/>
        </w:numPr>
        <w:spacing w:after="0" w:line="240" w:lineRule="auto"/>
        <w:rPr>
          <w:rFonts w:asciiTheme="minorHAnsi" w:hAnsiTheme="minorHAnsi" w:cstheme="minorHAnsi"/>
          <w:sz w:val="20"/>
          <w:szCs w:val="20"/>
          <w:lang w:val="fr-FR"/>
        </w:rPr>
      </w:pPr>
      <w:r w:rsidRPr="00370018">
        <w:rPr>
          <w:rFonts w:asciiTheme="minorHAnsi" w:hAnsiTheme="minorHAnsi" w:cstheme="minorHAnsi"/>
          <w:b/>
          <w:bCs/>
          <w:sz w:val="20"/>
          <w:szCs w:val="20"/>
          <w:lang w:val="fr-FR"/>
        </w:rPr>
        <w:t>Accès à une bonne connexion internet</w:t>
      </w:r>
      <w:r w:rsidRPr="00370018">
        <w:rPr>
          <w:rFonts w:asciiTheme="minorHAnsi" w:hAnsiTheme="minorHAnsi" w:cstheme="minorHAnsi"/>
          <w:sz w:val="20"/>
          <w:szCs w:val="20"/>
          <w:lang w:val="fr-FR"/>
        </w:rPr>
        <w:t xml:space="preserve"> et maîtrise des outils informatiques, notamment Googledoc, Doodle, vidéoconférences (zoom, skype), slack, etc ;</w:t>
      </w:r>
    </w:p>
    <w:p w14:paraId="4A9CECE0" w14:textId="77777777" w:rsidR="00404B57" w:rsidRPr="00404B57" w:rsidRDefault="00404B57" w:rsidP="00404B57">
      <w:pPr>
        <w:pStyle w:val="ListParagraph"/>
        <w:numPr>
          <w:ilvl w:val="0"/>
          <w:numId w:val="13"/>
        </w:numPr>
        <w:spacing w:after="0" w:line="240" w:lineRule="auto"/>
        <w:rPr>
          <w:rFonts w:asciiTheme="minorHAnsi" w:hAnsiTheme="minorHAnsi" w:cstheme="minorHAnsi"/>
          <w:sz w:val="20"/>
          <w:szCs w:val="20"/>
          <w:lang w:val="fr-FR"/>
        </w:rPr>
      </w:pPr>
      <w:r w:rsidRPr="00404B57">
        <w:rPr>
          <w:rFonts w:asciiTheme="minorHAnsi" w:hAnsiTheme="minorHAnsi" w:cstheme="minorHAnsi"/>
          <w:b/>
          <w:bCs/>
          <w:sz w:val="20"/>
          <w:szCs w:val="20"/>
          <w:lang w:val="fr-FR"/>
        </w:rPr>
        <w:t>Disponibilité pour travailler à plein temps sur l'analyse</w:t>
      </w:r>
      <w:r w:rsidRPr="00404B57">
        <w:rPr>
          <w:rFonts w:asciiTheme="minorHAnsi" w:hAnsiTheme="minorHAnsi" w:cstheme="minorHAnsi"/>
          <w:sz w:val="20"/>
          <w:szCs w:val="20"/>
          <w:lang w:val="fr-FR"/>
        </w:rPr>
        <w:t xml:space="preserve"> de l'IPC pendant deux semaines (jusqu'à une semaine de préparation et une semaine d'analyse et de validation).</w:t>
      </w:r>
    </w:p>
    <w:p w14:paraId="4A9CECE1" w14:textId="77777777" w:rsidR="00404B57" w:rsidRPr="00404B57" w:rsidRDefault="00404B57" w:rsidP="00404B57">
      <w:pPr>
        <w:spacing w:after="0" w:line="240" w:lineRule="auto"/>
        <w:ind w:right="48"/>
        <w:rPr>
          <w:lang w:val="fr-FR"/>
        </w:rPr>
      </w:pPr>
    </w:p>
    <w:p w14:paraId="4A9CECE2" w14:textId="77777777" w:rsidR="00404B57" w:rsidRPr="00370018" w:rsidRDefault="00404B57" w:rsidP="008B3BF7">
      <w:pPr>
        <w:pStyle w:val="ListParagraph"/>
        <w:numPr>
          <w:ilvl w:val="0"/>
          <w:numId w:val="14"/>
        </w:numPr>
        <w:spacing w:after="0" w:line="240" w:lineRule="auto"/>
        <w:ind w:right="48"/>
        <w:rPr>
          <w:lang w:val="fr-FR"/>
        </w:rPr>
      </w:pPr>
      <w:r w:rsidRPr="00370018">
        <w:rPr>
          <w:b/>
          <w:bCs/>
          <w:lang w:val="fr-FR"/>
        </w:rPr>
        <w:t>L'équipe d'analyse élargie :</w:t>
      </w:r>
      <w:r w:rsidRPr="00370018">
        <w:rPr>
          <w:lang w:val="fr-FR"/>
        </w:rPr>
        <w:t xml:space="preserve"> Cette équipe comprendra tous les analystes AMN de l'IPC qui sont habituellement impliqués dans les analyses AMN de l'IPC par pays. Pour que le processus reste gérable et efficace, un nombre restreint d'analystes (l'équipe d'analyse principale) participera à toutes les étapes du processus, il est important que les membres "réguliers" de l'équipe d'analyse de l'IPC (généralement entre 30 et 40 </w:t>
      </w:r>
      <w:r w:rsidRPr="00370018">
        <w:rPr>
          <w:lang w:val="fr-FR"/>
        </w:rPr>
        <w:lastRenderedPageBreak/>
        <w:t>experts selon le pays) puissent contribuer aux résultats de l'analyse AMN de l'IPC et four</w:t>
      </w:r>
      <w:r w:rsidR="002517B2">
        <w:rPr>
          <w:lang w:val="fr-FR"/>
        </w:rPr>
        <w:t xml:space="preserve">nir un retour d'information. </w:t>
      </w:r>
      <w:r w:rsidR="008B3BF7" w:rsidRPr="008B3BF7">
        <w:rPr>
          <w:lang w:val="fr-FR"/>
        </w:rPr>
        <w:t>Cependant</w:t>
      </w:r>
      <w:r w:rsidR="008B3BF7">
        <w:rPr>
          <w:lang w:val="fr-FR"/>
        </w:rPr>
        <w:t>, à l'instar des points focaux q</w:t>
      </w:r>
      <w:r w:rsidR="008B3BF7" w:rsidRPr="008B3BF7">
        <w:rPr>
          <w:lang w:val="fr-FR"/>
        </w:rPr>
        <w:t>u</w:t>
      </w:r>
      <w:r w:rsidR="008B3BF7">
        <w:rPr>
          <w:lang w:val="fr-FR"/>
        </w:rPr>
        <w:t>i maitrise le</w:t>
      </w:r>
      <w:r w:rsidR="008B3BF7" w:rsidRPr="008B3BF7">
        <w:rPr>
          <w:lang w:val="fr-FR"/>
        </w:rPr>
        <w:t xml:space="preserve"> contexte local, ils ne seront pas chargés de conduire l'analyse</w:t>
      </w:r>
      <w:r w:rsidR="008B3BF7">
        <w:rPr>
          <w:lang w:val="fr-FR"/>
        </w:rPr>
        <w:t>.</w:t>
      </w:r>
      <w:r w:rsidR="008B3BF7" w:rsidRPr="008B3BF7">
        <w:rPr>
          <w:lang w:val="fr-FR"/>
        </w:rPr>
        <w:t xml:space="preserve"> </w:t>
      </w:r>
    </w:p>
    <w:p w14:paraId="4A9CECE3" w14:textId="77777777" w:rsidR="00404B57" w:rsidRPr="00404B57" w:rsidRDefault="00404B57" w:rsidP="00404B57">
      <w:pPr>
        <w:spacing w:after="0" w:line="240" w:lineRule="auto"/>
        <w:ind w:left="-5" w:right="48"/>
        <w:rPr>
          <w:b/>
          <w:bCs/>
          <w:lang w:val="fr-FR"/>
        </w:rPr>
      </w:pPr>
      <w:r w:rsidRPr="00404B57">
        <w:rPr>
          <w:b/>
          <w:bCs/>
          <w:lang w:val="fr-FR"/>
        </w:rPr>
        <w:t>b) Processus</w:t>
      </w:r>
    </w:p>
    <w:p w14:paraId="4A9CECE4" w14:textId="77777777" w:rsidR="00404B57" w:rsidRPr="00404B57" w:rsidRDefault="00404B57" w:rsidP="00612356">
      <w:pPr>
        <w:spacing w:after="0" w:line="240" w:lineRule="auto"/>
        <w:ind w:left="-5" w:right="48"/>
        <w:jc w:val="both"/>
        <w:rPr>
          <w:lang w:val="fr-FR"/>
        </w:rPr>
      </w:pPr>
      <w:r w:rsidRPr="00370018">
        <w:rPr>
          <w:lang w:val="fr-FR"/>
        </w:rPr>
        <w:t xml:space="preserve">Le processus d'analyse virtuelle de l'IPC suivra une approche en quatre étapes : Planification, préparation, analyse et conclusion. </w:t>
      </w:r>
      <w:r w:rsidRPr="00404B57">
        <w:rPr>
          <w:lang w:val="fr-FR"/>
        </w:rPr>
        <w:t xml:space="preserve">Pour les analyses comportant un nombre </w:t>
      </w:r>
      <w:r w:rsidR="00612356">
        <w:rPr>
          <w:lang w:val="fr-FR"/>
        </w:rPr>
        <w:t>élevé de domaines à analyser, le GSU</w:t>
      </w:r>
      <w:r w:rsidRPr="00404B57">
        <w:rPr>
          <w:lang w:val="fr-FR"/>
        </w:rPr>
        <w:t xml:space="preserve"> peut suggérer des moyens d'adapter le processus, les outils et/ou la modalité d'analyse afin d'en améliorer l'efficacité. Toutefois, ces mesures n'affecteront pas le respect des protocoles IPC et garantiront que les exigences en matière d'analyse IPC so</w:t>
      </w:r>
      <w:r w:rsidR="00612356">
        <w:rPr>
          <w:lang w:val="fr-FR"/>
        </w:rPr>
        <w:t>ie</w:t>
      </w:r>
      <w:r w:rsidRPr="00404B57">
        <w:rPr>
          <w:lang w:val="fr-FR"/>
        </w:rPr>
        <w:t xml:space="preserve">nt respectées.  </w:t>
      </w:r>
    </w:p>
    <w:p w14:paraId="4A9CECE5" w14:textId="77777777" w:rsidR="00404B57" w:rsidRPr="00404B57" w:rsidRDefault="00404B57" w:rsidP="00404B57">
      <w:pPr>
        <w:spacing w:after="0" w:line="240" w:lineRule="auto"/>
        <w:ind w:left="-5" w:right="48"/>
        <w:rPr>
          <w:lang w:val="fr-FR"/>
        </w:rPr>
      </w:pPr>
    </w:p>
    <w:p w14:paraId="4A9CECE6" w14:textId="77777777" w:rsidR="00404B57" w:rsidRPr="002D6A5D" w:rsidRDefault="00404B57" w:rsidP="00404B57">
      <w:pPr>
        <w:pStyle w:val="Heading2"/>
        <w:numPr>
          <w:ilvl w:val="0"/>
          <w:numId w:val="12"/>
        </w:numPr>
        <w:spacing w:after="0" w:line="240" w:lineRule="auto"/>
        <w:jc w:val="both"/>
        <w:rPr>
          <w:i/>
          <w:iCs/>
          <w:lang w:val="en-GB"/>
        </w:rPr>
      </w:pPr>
      <w:r w:rsidRPr="00940344">
        <w:rPr>
          <w:i/>
          <w:iCs/>
          <w:lang w:val="en-GB"/>
        </w:rPr>
        <w:t>Planification</w:t>
      </w:r>
    </w:p>
    <w:p w14:paraId="4A9CECE7" w14:textId="77777777" w:rsidR="00404B57" w:rsidRPr="00404B57" w:rsidRDefault="00404B57" w:rsidP="00BF0908">
      <w:pPr>
        <w:spacing w:after="0" w:line="240" w:lineRule="auto"/>
        <w:ind w:left="-5" w:right="48"/>
        <w:jc w:val="both"/>
        <w:rPr>
          <w:lang w:val="fr-FR"/>
        </w:rPr>
      </w:pPr>
      <w:r w:rsidRPr="00404B57">
        <w:rPr>
          <w:lang w:val="fr-FR"/>
        </w:rPr>
        <w:t>La phase de planifica</w:t>
      </w:r>
      <w:r w:rsidR="00D24C14">
        <w:rPr>
          <w:lang w:val="fr-FR"/>
        </w:rPr>
        <w:t>tion consistera à communiquer les modalités de l’</w:t>
      </w:r>
      <w:r w:rsidRPr="00404B57">
        <w:rPr>
          <w:lang w:val="fr-FR"/>
        </w:rPr>
        <w:t>analyse virtuelle au group</w:t>
      </w:r>
      <w:r w:rsidR="00D24C14">
        <w:rPr>
          <w:lang w:val="fr-FR"/>
        </w:rPr>
        <w:t>e de travail sur la nutrition au niveau</w:t>
      </w:r>
      <w:r w:rsidRPr="00404B57">
        <w:rPr>
          <w:lang w:val="fr-FR"/>
        </w:rPr>
        <w:t xml:space="preserve"> pays et aux autres parties prenantes nationales et régionales concernées. Pour les pays qui souhaitent mettre en œuvre l'analyse virtuelle de l'IPC AMN, les modalités, les critères de p</w:t>
      </w:r>
      <w:r w:rsidR="00D24C14">
        <w:rPr>
          <w:lang w:val="fr-FR"/>
        </w:rPr>
        <w:t xml:space="preserve">articipation et le soutien du </w:t>
      </w:r>
      <w:r w:rsidRPr="00404B57">
        <w:rPr>
          <w:lang w:val="fr-FR"/>
        </w:rPr>
        <w:t>G</w:t>
      </w:r>
      <w:r w:rsidR="00D24C14">
        <w:rPr>
          <w:lang w:val="fr-FR"/>
        </w:rPr>
        <w:t>SU</w:t>
      </w:r>
      <w:r w:rsidRPr="00404B57">
        <w:rPr>
          <w:lang w:val="fr-FR"/>
        </w:rPr>
        <w:t xml:space="preserve"> seront discutés et un calendrier des activités sera élaboré.</w:t>
      </w:r>
    </w:p>
    <w:p w14:paraId="4A9CECE8" w14:textId="77777777" w:rsidR="00404B57" w:rsidRPr="00404B57" w:rsidRDefault="00404B57" w:rsidP="00BF0908">
      <w:pPr>
        <w:spacing w:after="0" w:line="240" w:lineRule="auto"/>
        <w:ind w:left="-5" w:right="48"/>
        <w:jc w:val="both"/>
        <w:rPr>
          <w:lang w:val="fr-FR"/>
        </w:rPr>
      </w:pPr>
    </w:p>
    <w:p w14:paraId="4A9CECE9" w14:textId="77777777" w:rsidR="00404B57" w:rsidRPr="00404B57" w:rsidRDefault="00404B57" w:rsidP="00BF0908">
      <w:pPr>
        <w:spacing w:after="0" w:line="240" w:lineRule="auto"/>
        <w:ind w:left="-5" w:right="48"/>
        <w:jc w:val="both"/>
        <w:rPr>
          <w:lang w:val="fr-FR"/>
        </w:rPr>
      </w:pPr>
      <w:r w:rsidRPr="00404B57">
        <w:rPr>
          <w:lang w:val="fr-FR"/>
        </w:rPr>
        <w:t>La durée de la phase de planification dépendra du contexte/pays ainsi que de l'urgence de mener une analyse IPC AMN (par exemple, en fonction des délais de prise de décision, de la date de collecte des données, etc.)</w:t>
      </w:r>
    </w:p>
    <w:p w14:paraId="4A9CECEA" w14:textId="77777777" w:rsidR="00404B57" w:rsidRPr="00404B57" w:rsidRDefault="00404B57" w:rsidP="00404B57">
      <w:pPr>
        <w:spacing w:after="0" w:line="240" w:lineRule="auto"/>
        <w:ind w:left="-5" w:right="48"/>
        <w:rPr>
          <w:lang w:val="fr-FR"/>
        </w:rPr>
      </w:pPr>
    </w:p>
    <w:p w14:paraId="4A9CECEB" w14:textId="77777777" w:rsidR="00404B57" w:rsidRPr="002D6A5D" w:rsidRDefault="00404B57" w:rsidP="00404B57">
      <w:pPr>
        <w:pStyle w:val="Heading2"/>
        <w:numPr>
          <w:ilvl w:val="0"/>
          <w:numId w:val="12"/>
        </w:numPr>
        <w:spacing w:after="0" w:line="240" w:lineRule="auto"/>
        <w:jc w:val="both"/>
        <w:rPr>
          <w:i/>
          <w:iCs/>
          <w:lang w:val="en-GB"/>
        </w:rPr>
      </w:pPr>
      <w:r w:rsidRPr="002D6A5D">
        <w:rPr>
          <w:i/>
          <w:iCs/>
          <w:lang w:val="en-GB"/>
        </w:rPr>
        <w:t>Pr</w:t>
      </w:r>
      <w:r>
        <w:rPr>
          <w:i/>
          <w:iCs/>
          <w:lang w:val="en-GB"/>
        </w:rPr>
        <w:t>é</w:t>
      </w:r>
      <w:r w:rsidRPr="002D6A5D">
        <w:rPr>
          <w:i/>
          <w:iCs/>
          <w:lang w:val="en-GB"/>
        </w:rPr>
        <w:t>paration (</w:t>
      </w:r>
      <w:r w:rsidRPr="00940344">
        <w:rPr>
          <w:i/>
          <w:iCs/>
          <w:lang w:val="en-GB"/>
        </w:rPr>
        <w:t>jusqu'à une semaine</w:t>
      </w:r>
      <w:r w:rsidRPr="002D6A5D">
        <w:rPr>
          <w:i/>
          <w:iCs/>
          <w:lang w:val="en-GB"/>
        </w:rPr>
        <w:t>)</w:t>
      </w:r>
    </w:p>
    <w:p w14:paraId="4A9CECEC" w14:textId="77777777" w:rsidR="00404B57" w:rsidRPr="00404B57" w:rsidRDefault="00404B57" w:rsidP="00404B57">
      <w:pPr>
        <w:spacing w:after="0" w:line="240" w:lineRule="auto"/>
        <w:ind w:right="48"/>
        <w:rPr>
          <w:lang w:val="fr-FR"/>
        </w:rPr>
      </w:pPr>
      <w:r w:rsidRPr="00404B57">
        <w:rPr>
          <w:lang w:val="fr-FR"/>
        </w:rPr>
        <w:t>La phase de préparation peut durer jusqu'à une semaine et comportera des activités similaires à la préparation d'une analyse</w:t>
      </w:r>
      <w:r w:rsidR="00D24C14">
        <w:rPr>
          <w:lang w:val="fr-FR"/>
        </w:rPr>
        <w:t xml:space="preserve"> IPC "régulière" (en présentielle</w:t>
      </w:r>
      <w:r w:rsidRPr="00404B57">
        <w:rPr>
          <w:lang w:val="fr-FR"/>
        </w:rPr>
        <w:t xml:space="preserve">), à savoir </w:t>
      </w:r>
    </w:p>
    <w:p w14:paraId="4A9CECED" w14:textId="77777777" w:rsidR="00404B57" w:rsidRPr="00404B57" w:rsidRDefault="00404B57" w:rsidP="00404B57">
      <w:pPr>
        <w:spacing w:after="0" w:line="240" w:lineRule="auto"/>
        <w:ind w:left="720" w:right="48"/>
        <w:rPr>
          <w:lang w:val="fr-FR"/>
        </w:rPr>
      </w:pPr>
      <w:r w:rsidRPr="00404B57">
        <w:rPr>
          <w:lang w:val="fr-FR"/>
        </w:rPr>
        <w:t>a) Disponibilité des données sur la base des critères de fiabilité du Manuel technique de l'IPC, version 3.0 (voir annexe pour plus de détails)</w:t>
      </w:r>
    </w:p>
    <w:p w14:paraId="4A9CECEE" w14:textId="77777777" w:rsidR="00404B57" w:rsidRPr="00370018" w:rsidRDefault="00404B57" w:rsidP="00404B57">
      <w:pPr>
        <w:spacing w:after="0" w:line="240" w:lineRule="auto"/>
        <w:ind w:left="720" w:right="48"/>
        <w:rPr>
          <w:lang w:val="fr-FR"/>
        </w:rPr>
      </w:pPr>
      <w:r w:rsidRPr="00370018">
        <w:rPr>
          <w:lang w:val="fr-FR"/>
        </w:rPr>
        <w:t>b) Accord avec le ministère de la santé et le groupe de la nutrition pour effectuer l'analyse/la mise à jour</w:t>
      </w:r>
    </w:p>
    <w:p w14:paraId="4A9CECEF" w14:textId="77777777" w:rsidR="00404B57" w:rsidRPr="00404B57" w:rsidRDefault="00404B57" w:rsidP="00404B57">
      <w:pPr>
        <w:spacing w:after="0" w:line="240" w:lineRule="auto"/>
        <w:ind w:left="720" w:right="48"/>
        <w:rPr>
          <w:lang w:val="fr-FR"/>
        </w:rPr>
      </w:pPr>
      <w:r w:rsidRPr="00404B57">
        <w:rPr>
          <w:lang w:val="fr-FR"/>
        </w:rPr>
        <w:t>c) Définir la composition de l'équipe d'analyse, c'est-à-dire identifier les experts qui compose</w:t>
      </w:r>
      <w:r w:rsidR="00D24C14">
        <w:rPr>
          <w:lang w:val="fr-FR"/>
        </w:rPr>
        <w:t>ro</w:t>
      </w:r>
      <w:r w:rsidRPr="00404B57">
        <w:rPr>
          <w:lang w:val="fr-FR"/>
        </w:rPr>
        <w:t xml:space="preserve">nt les différents groupes mentionnés ci-dessus. Cela sera documenté dans la matrice de l'équipe d'analyse IPC. </w:t>
      </w:r>
    </w:p>
    <w:p w14:paraId="4A9CECF0" w14:textId="77777777" w:rsidR="00404B57" w:rsidRPr="00404B57" w:rsidRDefault="00404B57" w:rsidP="00404B57">
      <w:pPr>
        <w:spacing w:after="0" w:line="240" w:lineRule="auto"/>
        <w:ind w:left="720" w:right="48"/>
        <w:rPr>
          <w:lang w:val="fr-FR"/>
        </w:rPr>
      </w:pPr>
      <w:r w:rsidRPr="00404B57">
        <w:rPr>
          <w:lang w:val="fr-FR"/>
        </w:rPr>
        <w:t xml:space="preserve">d) Attribuer des rôles aux analystes et aux co-facilitateurs pour des domaines d'analyse spécifiques.   </w:t>
      </w:r>
    </w:p>
    <w:p w14:paraId="4A9CECF1" w14:textId="77777777" w:rsidR="00404B57" w:rsidRPr="00404B57" w:rsidRDefault="00404B57" w:rsidP="00404B57">
      <w:pPr>
        <w:spacing w:after="0" w:line="240" w:lineRule="auto"/>
        <w:ind w:left="720" w:right="48"/>
        <w:rPr>
          <w:lang w:val="fr-FR"/>
        </w:rPr>
      </w:pPr>
      <w:r w:rsidRPr="00404B57">
        <w:rPr>
          <w:lang w:val="fr-FR"/>
        </w:rPr>
        <w:t xml:space="preserve">e) Mettre les analystes de l'IPC en contact avec leurs co-facilitateurs et facilitateurs principaux respectifs. </w:t>
      </w:r>
    </w:p>
    <w:p w14:paraId="4A9CECF2" w14:textId="77777777" w:rsidR="00404B57" w:rsidRPr="00404B57" w:rsidRDefault="00404B57" w:rsidP="00404B57">
      <w:pPr>
        <w:spacing w:after="0" w:line="240" w:lineRule="auto"/>
        <w:ind w:left="720" w:right="48"/>
        <w:rPr>
          <w:lang w:val="fr-FR"/>
        </w:rPr>
      </w:pPr>
      <w:r w:rsidRPr="00404B57">
        <w:rPr>
          <w:lang w:val="fr-FR"/>
        </w:rPr>
        <w:t xml:space="preserve">f) Identifier les paramètres d'analyse et élaborer le programme détaillé de l'analyse virtuelle.   </w:t>
      </w:r>
    </w:p>
    <w:p w14:paraId="4A9CECF3" w14:textId="77777777" w:rsidR="00404B57" w:rsidRPr="00404B57" w:rsidRDefault="00404B57" w:rsidP="00404B57">
      <w:pPr>
        <w:spacing w:after="0" w:line="240" w:lineRule="auto"/>
        <w:ind w:left="720" w:right="48"/>
        <w:rPr>
          <w:lang w:val="fr-FR"/>
        </w:rPr>
      </w:pPr>
      <w:r w:rsidRPr="00404B57">
        <w:rPr>
          <w:lang w:val="fr-FR"/>
        </w:rPr>
        <w:t>g) Rassembler les données nécessaires à l'analyse</w:t>
      </w:r>
    </w:p>
    <w:p w14:paraId="4A9CECF4" w14:textId="77777777" w:rsidR="00404B57" w:rsidRPr="00404B57" w:rsidRDefault="00404B57" w:rsidP="00404B57">
      <w:pPr>
        <w:spacing w:after="0" w:line="240" w:lineRule="auto"/>
        <w:ind w:left="720" w:right="48"/>
        <w:rPr>
          <w:sz w:val="24"/>
          <w:lang w:val="fr-FR"/>
        </w:rPr>
      </w:pPr>
      <w:r w:rsidRPr="00404B57">
        <w:rPr>
          <w:lang w:val="fr-FR"/>
        </w:rPr>
        <w:t>h) Préparation du plan de diffusion des produits de l'IPC AMN</w:t>
      </w:r>
      <w:r w:rsidRPr="00404B57">
        <w:rPr>
          <w:sz w:val="24"/>
          <w:lang w:val="fr-FR"/>
        </w:rPr>
        <w:t xml:space="preserve"> </w:t>
      </w:r>
    </w:p>
    <w:p w14:paraId="4A9CECF5" w14:textId="77777777" w:rsidR="00404B57" w:rsidRPr="00404B57" w:rsidRDefault="00404B57" w:rsidP="00404B57">
      <w:pPr>
        <w:spacing w:after="0" w:line="240" w:lineRule="auto"/>
        <w:ind w:left="720" w:right="48"/>
        <w:rPr>
          <w:lang w:val="fr-FR"/>
        </w:rPr>
      </w:pPr>
    </w:p>
    <w:p w14:paraId="4A9CECF6" w14:textId="77777777" w:rsidR="00404B57" w:rsidRPr="002D6A5D" w:rsidRDefault="00404B57" w:rsidP="00404B57">
      <w:pPr>
        <w:pStyle w:val="Heading2"/>
        <w:numPr>
          <w:ilvl w:val="0"/>
          <w:numId w:val="12"/>
        </w:numPr>
        <w:spacing w:after="0" w:line="240" w:lineRule="auto"/>
        <w:jc w:val="both"/>
        <w:rPr>
          <w:i/>
          <w:iCs/>
          <w:lang w:val="en-GB"/>
        </w:rPr>
      </w:pPr>
      <w:r w:rsidRPr="002D6A5D">
        <w:rPr>
          <w:i/>
          <w:iCs/>
          <w:lang w:val="en-GB"/>
        </w:rPr>
        <w:t>Analys</w:t>
      </w:r>
      <w:r>
        <w:rPr>
          <w:i/>
          <w:iCs/>
          <w:lang w:val="en-GB"/>
        </w:rPr>
        <w:t>e</w:t>
      </w:r>
      <w:r w:rsidRPr="002D6A5D">
        <w:rPr>
          <w:i/>
          <w:iCs/>
          <w:lang w:val="en-GB"/>
        </w:rPr>
        <w:t xml:space="preserve"> (</w:t>
      </w:r>
      <w:r>
        <w:rPr>
          <w:i/>
          <w:iCs/>
          <w:lang w:val="en-GB"/>
        </w:rPr>
        <w:t>une semaine</w:t>
      </w:r>
      <w:r w:rsidRPr="002D6A5D">
        <w:rPr>
          <w:i/>
          <w:iCs/>
          <w:lang w:val="en-GB"/>
        </w:rPr>
        <w:t>)</w:t>
      </w:r>
    </w:p>
    <w:p w14:paraId="4A9CECF7" w14:textId="77777777" w:rsidR="00404B57" w:rsidRPr="00370018" w:rsidRDefault="00404B57" w:rsidP="00DF4B8D">
      <w:pPr>
        <w:spacing w:after="0" w:line="240" w:lineRule="auto"/>
        <w:jc w:val="both"/>
        <w:rPr>
          <w:lang w:val="fr-FR"/>
        </w:rPr>
      </w:pPr>
      <w:r w:rsidRPr="00370018">
        <w:rPr>
          <w:lang w:val="fr-FR"/>
        </w:rPr>
        <w:t xml:space="preserve">La deuxième semaine est entièrement consacrée à l'analyse et comprend les étapes suivantes : </w:t>
      </w:r>
    </w:p>
    <w:p w14:paraId="4A9CECF8" w14:textId="77777777" w:rsidR="00404B57" w:rsidRPr="00404B57" w:rsidRDefault="00404B57" w:rsidP="00DF4B8D">
      <w:pPr>
        <w:spacing w:after="0" w:line="240" w:lineRule="auto"/>
        <w:ind w:left="720"/>
        <w:jc w:val="both"/>
        <w:rPr>
          <w:lang w:val="fr-FR"/>
        </w:rPr>
      </w:pPr>
      <w:r w:rsidRPr="00404B57">
        <w:rPr>
          <w:lang w:val="fr-FR"/>
        </w:rPr>
        <w:t>a) Tenue de la réunion de lancement de l'équipe d'analyse de base pour discuter des paramètres de l'analyse, de l'ordre du jour et des étapes, des principaux facteurs et des grandes hypothèses de projection au niveau du pays.</w:t>
      </w:r>
    </w:p>
    <w:p w14:paraId="4A9CECF9" w14:textId="77777777" w:rsidR="00404B57" w:rsidRPr="00404B57" w:rsidRDefault="00404B57" w:rsidP="00DF4B8D">
      <w:pPr>
        <w:spacing w:after="0" w:line="240" w:lineRule="auto"/>
        <w:ind w:left="720"/>
        <w:jc w:val="both"/>
        <w:rPr>
          <w:lang w:val="fr-FR"/>
        </w:rPr>
      </w:pPr>
      <w:r w:rsidRPr="00404B57">
        <w:rPr>
          <w:lang w:val="fr-FR"/>
        </w:rPr>
        <w:t xml:space="preserve">b) Commencer l'analyse du domaine et remplir les feuilles de travail de l'analyse.  </w:t>
      </w:r>
    </w:p>
    <w:p w14:paraId="4A9CECFA" w14:textId="77777777" w:rsidR="00404B57" w:rsidRPr="00404B57" w:rsidRDefault="00404B57" w:rsidP="00DF4B8D">
      <w:pPr>
        <w:spacing w:after="0" w:line="240" w:lineRule="auto"/>
        <w:ind w:left="720"/>
        <w:jc w:val="both"/>
        <w:rPr>
          <w:lang w:val="fr-FR"/>
        </w:rPr>
      </w:pPr>
      <w:r w:rsidRPr="00404B57">
        <w:rPr>
          <w:lang w:val="fr-FR"/>
        </w:rPr>
        <w:t>c) Organiser des réunions quotidiennes des facilitateurs tout au long de la semaine. C'est l'occasion pour les facilitateurs de partager et de discuter des principales préoccupations et des défis techniques rencontrés.</w:t>
      </w:r>
    </w:p>
    <w:p w14:paraId="4A9CECFB" w14:textId="77777777" w:rsidR="00404B57" w:rsidRPr="00404B57" w:rsidRDefault="00404B57" w:rsidP="00DF4B8D">
      <w:pPr>
        <w:spacing w:after="0" w:line="240" w:lineRule="auto"/>
        <w:ind w:left="720"/>
        <w:jc w:val="both"/>
        <w:rPr>
          <w:lang w:val="fr-FR"/>
        </w:rPr>
      </w:pPr>
      <w:r w:rsidRPr="00404B57">
        <w:rPr>
          <w:lang w:val="fr-FR"/>
        </w:rPr>
        <w:lastRenderedPageBreak/>
        <w:t xml:space="preserve">d) Organiser des sessions de contrôle en petits groupes pour les domaines analysés par chaque groupe. Un consensus doit être atteint au sein du groupe et les opinions et préoccupations des minorités sont documentées afin de pouvoir en rendre compte ultérieurement à l'ensemble du groupe lors de la séance plénière.  </w:t>
      </w:r>
    </w:p>
    <w:p w14:paraId="4A9CECFC" w14:textId="77777777" w:rsidR="00404B57" w:rsidRPr="00404B57" w:rsidRDefault="00DF4B8D" w:rsidP="00DF4B8D">
      <w:pPr>
        <w:spacing w:after="0" w:line="240" w:lineRule="auto"/>
        <w:ind w:left="720"/>
        <w:jc w:val="both"/>
        <w:rPr>
          <w:lang w:val="fr-FR"/>
        </w:rPr>
      </w:pPr>
      <w:r>
        <w:rPr>
          <w:lang w:val="fr-FR"/>
        </w:rPr>
        <w:t xml:space="preserve">e) Organiser une réunion de vérification des conclusions </w:t>
      </w:r>
      <w:r w:rsidR="00404B57" w:rsidRPr="00404B57">
        <w:rPr>
          <w:lang w:val="fr-FR"/>
        </w:rPr>
        <w:t xml:space="preserve">de l'équipe d'analyse </w:t>
      </w:r>
      <w:r>
        <w:rPr>
          <w:lang w:val="fr-FR"/>
        </w:rPr>
        <w:t>restreinte, facilit</w:t>
      </w:r>
      <w:r w:rsidR="00404B57" w:rsidRPr="00404B57">
        <w:rPr>
          <w:lang w:val="fr-FR"/>
        </w:rPr>
        <w:t>ée par l</w:t>
      </w:r>
      <w:r>
        <w:rPr>
          <w:lang w:val="fr-FR"/>
        </w:rPr>
        <w:t>e GSU</w:t>
      </w:r>
      <w:r w:rsidR="00404B57" w:rsidRPr="00404B57">
        <w:rPr>
          <w:lang w:val="fr-FR"/>
        </w:rPr>
        <w:t>, avec tous les membres de l'équipe d'analyse centrale</w:t>
      </w:r>
      <w:r>
        <w:rPr>
          <w:lang w:val="fr-FR"/>
        </w:rPr>
        <w:t xml:space="preserve"> restreinte</w:t>
      </w:r>
      <w:r w:rsidR="00404B57" w:rsidRPr="00404B57">
        <w:rPr>
          <w:lang w:val="fr-FR"/>
        </w:rPr>
        <w:t xml:space="preserve"> et les</w:t>
      </w:r>
      <w:r>
        <w:rPr>
          <w:lang w:val="fr-FR"/>
        </w:rPr>
        <w:t xml:space="preserve"> co-facilitateurs</w:t>
      </w:r>
      <w:r w:rsidR="00404B57" w:rsidRPr="00404B57">
        <w:rPr>
          <w:lang w:val="fr-FR"/>
        </w:rPr>
        <w:t xml:space="preserve">. Les </w:t>
      </w:r>
      <w:r>
        <w:rPr>
          <w:lang w:val="fr-FR"/>
        </w:rPr>
        <w:t>co-</w:t>
      </w:r>
      <w:r w:rsidR="00404B57" w:rsidRPr="00404B57">
        <w:rPr>
          <w:lang w:val="fr-FR"/>
        </w:rPr>
        <w:t>facilitateurs présentent les résultats des travaux de leur groupe. Les questions et les préoccupations sont soulevées et documentées et les membres de l'équipe centrale parviennent à un consensus sur les cla</w:t>
      </w:r>
      <w:r>
        <w:rPr>
          <w:lang w:val="fr-FR"/>
        </w:rPr>
        <w:t>ssifications finales des unités d’analyses</w:t>
      </w:r>
      <w:r w:rsidR="00404B57" w:rsidRPr="00404B57">
        <w:rPr>
          <w:lang w:val="fr-FR"/>
        </w:rPr>
        <w:t xml:space="preserve">. En fonction des questions soulevées, l'analyse des domaines spécifiques est révisée et toutes les étapes de l'analyse sont finalisées. </w:t>
      </w:r>
    </w:p>
    <w:p w14:paraId="4A9CECFD" w14:textId="77777777" w:rsidR="00404B57" w:rsidRPr="00404B57" w:rsidRDefault="00404B57" w:rsidP="00404B57">
      <w:pPr>
        <w:spacing w:after="0" w:line="240" w:lineRule="auto"/>
        <w:rPr>
          <w:lang w:val="fr-FR"/>
        </w:rPr>
      </w:pPr>
      <w:r w:rsidRPr="00404B57">
        <w:rPr>
          <w:rFonts w:ascii="Arial" w:eastAsia="Arial" w:hAnsi="Arial" w:cs="Arial"/>
          <w:lang w:val="fr-FR"/>
        </w:rPr>
        <w:t xml:space="preserve"> </w:t>
      </w:r>
    </w:p>
    <w:p w14:paraId="4A9CECFE" w14:textId="77777777" w:rsidR="00404B57" w:rsidRPr="00404B57" w:rsidRDefault="00DF4B8D" w:rsidP="00DF4B8D">
      <w:pPr>
        <w:spacing w:after="0" w:line="240" w:lineRule="auto"/>
        <w:jc w:val="both"/>
        <w:rPr>
          <w:lang w:val="fr-FR"/>
        </w:rPr>
      </w:pPr>
      <w:r>
        <w:rPr>
          <w:lang w:val="fr-FR"/>
        </w:rPr>
        <w:t>Le GSU</w:t>
      </w:r>
      <w:r w:rsidR="00404B57" w:rsidRPr="00404B57">
        <w:rPr>
          <w:lang w:val="fr-FR"/>
        </w:rPr>
        <w:t xml:space="preserve"> soutiendra l'ensemble du processus d'analyse en temps réel et fournira des conseils techniques lors des réunions quotidiennes, qui sont documentées. Une ligne d'assistance téléphonique est également mise en place pour faciliter et documenter l'interaction constante entre tous les facilitateurs.  </w:t>
      </w:r>
    </w:p>
    <w:p w14:paraId="4A9CECFF" w14:textId="77777777" w:rsidR="00404B57" w:rsidRPr="00404B57" w:rsidRDefault="00404B57" w:rsidP="00404B57">
      <w:pPr>
        <w:spacing w:after="0" w:line="240" w:lineRule="auto"/>
        <w:rPr>
          <w:lang w:val="fr-FR"/>
        </w:rPr>
      </w:pPr>
      <w:r w:rsidRPr="00404B57">
        <w:rPr>
          <w:rFonts w:ascii="Arial" w:eastAsia="Arial" w:hAnsi="Arial" w:cs="Arial"/>
          <w:lang w:val="fr-FR"/>
        </w:rPr>
        <w:t xml:space="preserve"> </w:t>
      </w:r>
      <w:r w:rsidRPr="00404B57">
        <w:rPr>
          <w:rFonts w:ascii="Arial" w:eastAsia="Arial" w:hAnsi="Arial" w:cs="Arial"/>
          <w:lang w:val="fr-FR"/>
        </w:rPr>
        <w:tab/>
        <w:t xml:space="preserve"> </w:t>
      </w:r>
    </w:p>
    <w:p w14:paraId="4A9CED00" w14:textId="77777777" w:rsidR="00404B57" w:rsidRPr="002D6A5D" w:rsidRDefault="00404B57" w:rsidP="00404B57">
      <w:pPr>
        <w:pStyle w:val="Heading2"/>
        <w:numPr>
          <w:ilvl w:val="0"/>
          <w:numId w:val="12"/>
        </w:numPr>
        <w:spacing w:after="0" w:line="240" w:lineRule="auto"/>
        <w:jc w:val="both"/>
        <w:rPr>
          <w:i/>
          <w:iCs/>
          <w:lang w:val="en-GB"/>
        </w:rPr>
      </w:pPr>
      <w:r>
        <w:rPr>
          <w:i/>
          <w:iCs/>
          <w:lang w:val="en-GB"/>
        </w:rPr>
        <w:t>Conclusion</w:t>
      </w:r>
    </w:p>
    <w:p w14:paraId="4A9CED01" w14:textId="77777777" w:rsidR="00404B57" w:rsidRPr="00404B57" w:rsidRDefault="00404B57" w:rsidP="00DF4B8D">
      <w:pPr>
        <w:spacing w:after="0" w:line="240" w:lineRule="auto"/>
        <w:jc w:val="both"/>
        <w:rPr>
          <w:lang w:val="fr-FR"/>
        </w:rPr>
      </w:pPr>
      <w:r w:rsidRPr="00370018">
        <w:rPr>
          <w:lang w:val="fr-FR"/>
        </w:rPr>
        <w:t xml:space="preserve">Pour garantir la publication en temps utile des résultats de l'analyse IPC, la phase de clôture ne devrait pas prendre plus d'une semaine. </w:t>
      </w:r>
      <w:r w:rsidRPr="00404B57">
        <w:rPr>
          <w:lang w:val="fr-FR"/>
        </w:rPr>
        <w:t xml:space="preserve">Cela implique les activités suivantes : </w:t>
      </w:r>
    </w:p>
    <w:p w14:paraId="4A9CED02" w14:textId="77777777" w:rsidR="00404B57" w:rsidRPr="00404B57" w:rsidRDefault="00404B57" w:rsidP="00DF4B8D">
      <w:pPr>
        <w:spacing w:after="0" w:line="240" w:lineRule="auto"/>
        <w:ind w:left="720"/>
        <w:jc w:val="both"/>
        <w:rPr>
          <w:lang w:val="fr-FR"/>
        </w:rPr>
      </w:pPr>
      <w:r w:rsidRPr="00404B57">
        <w:rPr>
          <w:lang w:val="fr-FR"/>
        </w:rPr>
        <w:t xml:space="preserve">a) Débriefing et achèvement de l'outil d'auto-évaluation (conformément aux protocoles IPC V.3.0) par l'équipe d'analyse principale. </w:t>
      </w:r>
    </w:p>
    <w:p w14:paraId="4A9CED03" w14:textId="77777777" w:rsidR="00404B57" w:rsidRPr="00404B57" w:rsidRDefault="00404B57" w:rsidP="00DF4B8D">
      <w:pPr>
        <w:spacing w:after="0" w:line="240" w:lineRule="auto"/>
        <w:ind w:left="720"/>
        <w:jc w:val="both"/>
        <w:rPr>
          <w:lang w:val="fr-FR"/>
        </w:rPr>
      </w:pPr>
      <w:r w:rsidRPr="00404B57">
        <w:rPr>
          <w:lang w:val="fr-FR"/>
        </w:rPr>
        <w:t xml:space="preserve">b) Présentation des résultats de l'analyse IPC à l'équipe d'analyse élargie en séance plénière pour commentaires. Les recommandations sont documentées et, lorsqu'elles sont approuvées par l'équipe d'analyse principale (sur la base de preuves), elles sont intégrées à l'analyse. </w:t>
      </w:r>
    </w:p>
    <w:p w14:paraId="4A9CED04" w14:textId="77777777" w:rsidR="00404B57" w:rsidRPr="00404B57" w:rsidRDefault="00404B57" w:rsidP="00DF4B8D">
      <w:pPr>
        <w:spacing w:after="0" w:line="240" w:lineRule="auto"/>
        <w:ind w:left="720"/>
        <w:jc w:val="both"/>
        <w:rPr>
          <w:lang w:val="fr-FR"/>
        </w:rPr>
      </w:pPr>
      <w:r w:rsidRPr="00404B57">
        <w:rPr>
          <w:lang w:val="fr-FR"/>
        </w:rPr>
        <w:t xml:space="preserve">c) Identification de l'équipe de rédaction du rapport IPC. Une fois rédigé, le rapport est distribué aux membres de l'équipe d'analyse élargie et à l'entité nationale qui est normalement responsable de l'approbation finale officielle (délai maximum de 2 jours). </w:t>
      </w:r>
    </w:p>
    <w:p w14:paraId="4A9CED05" w14:textId="77777777" w:rsidR="00404B57" w:rsidRPr="00404B57" w:rsidRDefault="00404B57" w:rsidP="00DF4B8D">
      <w:pPr>
        <w:spacing w:after="0" w:line="240" w:lineRule="auto"/>
        <w:ind w:left="720"/>
        <w:jc w:val="both"/>
        <w:rPr>
          <w:rFonts w:ascii="Arial" w:eastAsia="Arial" w:hAnsi="Arial" w:cs="Arial"/>
          <w:lang w:val="fr-FR"/>
        </w:rPr>
      </w:pPr>
      <w:r w:rsidRPr="00404B57">
        <w:rPr>
          <w:lang w:val="fr-FR"/>
        </w:rPr>
        <w:t xml:space="preserve">d) Le processus habituel du pays est suivi pour la publication et la diffusion du rapport IPC. Une fois publié au niveau national, le rapport est téléchargé sur le site web de l'IPC pour une diffusion mondiale. </w:t>
      </w:r>
      <w:r w:rsidRPr="00404B57">
        <w:rPr>
          <w:rFonts w:ascii="Arial" w:eastAsia="Arial" w:hAnsi="Arial" w:cs="Arial"/>
          <w:lang w:val="fr-FR"/>
        </w:rPr>
        <w:t xml:space="preserve"> </w:t>
      </w:r>
    </w:p>
    <w:p w14:paraId="4A9CED06" w14:textId="77777777" w:rsidR="00404B57" w:rsidRPr="00404B57" w:rsidRDefault="00404B57" w:rsidP="00404B57">
      <w:pPr>
        <w:spacing w:after="0" w:line="240" w:lineRule="auto"/>
        <w:ind w:left="720"/>
        <w:rPr>
          <w:lang w:val="fr-FR"/>
        </w:rPr>
      </w:pPr>
    </w:p>
    <w:p w14:paraId="4A9CED07" w14:textId="77777777" w:rsidR="00404B57" w:rsidRPr="00404B57" w:rsidRDefault="00404B57" w:rsidP="00404B57">
      <w:pPr>
        <w:spacing w:after="0" w:line="240" w:lineRule="auto"/>
        <w:ind w:left="-5" w:right="48"/>
        <w:rPr>
          <w:b/>
          <w:bCs/>
          <w:lang w:val="fr-FR"/>
        </w:rPr>
      </w:pPr>
      <w:r w:rsidRPr="00404B57">
        <w:rPr>
          <w:b/>
          <w:bCs/>
          <w:lang w:val="fr-FR"/>
        </w:rPr>
        <w:t>c) Exigences Internet et outils de collaboration</w:t>
      </w:r>
    </w:p>
    <w:p w14:paraId="4A9CED08" w14:textId="77777777" w:rsidR="00404B57" w:rsidRPr="00404B57" w:rsidRDefault="00404B57" w:rsidP="00DF4B8D">
      <w:pPr>
        <w:spacing w:after="0" w:line="240" w:lineRule="auto"/>
        <w:ind w:left="-5" w:right="48"/>
        <w:jc w:val="both"/>
        <w:rPr>
          <w:lang w:val="fr-FR"/>
        </w:rPr>
      </w:pPr>
      <w:r w:rsidRPr="00404B57">
        <w:rPr>
          <w:lang w:val="fr-FR"/>
        </w:rPr>
        <w:t xml:space="preserve">Afin de réaliser efficacement les analyses virtuelles IPC, une connexion Internet à haut débit et des outils de collaboration basés sur Internet tels que Skype ou Zoom seront nécessaires. Plus précisément, cela implique d'avoir une connexion DSL/Phone/Fibre/autre "hot-spot" / Internet de 3mbps ou plus. Si le téléphone ou le portable est utilisé avec un forfait prépayé ou post-payé, il doit avoir une couverture 3G, 4G ou LTE. </w:t>
      </w:r>
    </w:p>
    <w:p w14:paraId="4A9CED09" w14:textId="77777777" w:rsidR="00404B57" w:rsidRPr="00404B57" w:rsidRDefault="00404B57" w:rsidP="00DF4B8D">
      <w:pPr>
        <w:spacing w:after="0" w:line="240" w:lineRule="auto"/>
        <w:ind w:left="-5" w:right="48"/>
        <w:jc w:val="both"/>
        <w:rPr>
          <w:lang w:val="fr-FR"/>
        </w:rPr>
      </w:pPr>
      <w:r w:rsidRPr="00404B57">
        <w:rPr>
          <w:lang w:val="fr-FR"/>
        </w:rPr>
        <w:t xml:space="preserve"> </w:t>
      </w:r>
    </w:p>
    <w:p w14:paraId="4A9CED0A" w14:textId="77777777" w:rsidR="00404B57" w:rsidRPr="00404B57" w:rsidRDefault="00404B57" w:rsidP="00DF4B8D">
      <w:pPr>
        <w:spacing w:after="0" w:line="240" w:lineRule="auto"/>
        <w:ind w:left="-5" w:right="48"/>
        <w:jc w:val="both"/>
        <w:rPr>
          <w:lang w:val="fr-FR"/>
        </w:rPr>
      </w:pPr>
      <w:r w:rsidRPr="00404B57">
        <w:rPr>
          <w:lang w:val="fr-FR"/>
        </w:rPr>
        <w:t>Étant donné que les participants à l'analyse virtuelle de l'IPC sont censés travailler à domicile et dépendent donc de leur connexion téléphonique à domicile ou mobile, des recharges internet peuvent être nécessaires pour as</w:t>
      </w:r>
      <w:r w:rsidR="00DF4B8D">
        <w:rPr>
          <w:lang w:val="fr-FR"/>
        </w:rPr>
        <w:t>surer une connexion adéquate. Le GSU est disposé</w:t>
      </w:r>
      <w:r w:rsidRPr="00404B57">
        <w:rPr>
          <w:lang w:val="fr-FR"/>
        </w:rPr>
        <w:t xml:space="preserve"> à couvrir ces coûts si les pays ont besoin d'un soutien financier. </w:t>
      </w:r>
    </w:p>
    <w:p w14:paraId="4A9CED0B" w14:textId="77777777" w:rsidR="00404B57" w:rsidRPr="00404B57" w:rsidRDefault="00404B57" w:rsidP="00404B57">
      <w:pPr>
        <w:spacing w:after="0" w:line="240" w:lineRule="auto"/>
        <w:ind w:left="-5" w:right="48"/>
        <w:rPr>
          <w:lang w:val="fr-FR"/>
        </w:rPr>
      </w:pPr>
    </w:p>
    <w:p w14:paraId="4A9CED0C" w14:textId="77777777" w:rsidR="00404B57" w:rsidRPr="00404B57" w:rsidRDefault="00404B57" w:rsidP="00DF4B8D">
      <w:pPr>
        <w:spacing w:after="0" w:line="240" w:lineRule="auto"/>
        <w:ind w:left="-5" w:right="48"/>
        <w:jc w:val="both"/>
        <w:rPr>
          <w:lang w:val="fr-FR"/>
        </w:rPr>
      </w:pPr>
      <w:r w:rsidRPr="00404B57">
        <w:rPr>
          <w:lang w:val="fr-FR"/>
        </w:rPr>
        <w:t>Les participants peuvent également être confrontés à des problèmes liés aux technologies de l'information, car ils n'ont pas toujours accès au personnel</w:t>
      </w:r>
      <w:r w:rsidR="00DF4B8D">
        <w:rPr>
          <w:lang w:val="fr-FR"/>
        </w:rPr>
        <w:t xml:space="preserve"> informatique de leur bureau. Le GSU</w:t>
      </w:r>
      <w:r w:rsidRPr="00404B57">
        <w:rPr>
          <w:lang w:val="fr-FR"/>
        </w:rPr>
        <w:t xml:space="preserve"> fournira donc un soutien pour répondre aux problèmes informatiques individuels, si nécessaire. </w:t>
      </w:r>
    </w:p>
    <w:p w14:paraId="4A9CED0D" w14:textId="77777777" w:rsidR="00404B57" w:rsidRPr="00404B57" w:rsidRDefault="00404B57" w:rsidP="00404B57">
      <w:pPr>
        <w:rPr>
          <w:lang w:val="fr-FR"/>
        </w:rPr>
      </w:pPr>
      <w:r w:rsidRPr="00404B57">
        <w:rPr>
          <w:lang w:val="fr-FR"/>
        </w:rPr>
        <w:br w:type="page"/>
      </w:r>
      <w:r w:rsidRPr="00404B57">
        <w:rPr>
          <w:b/>
          <w:bCs/>
          <w:sz w:val="24"/>
          <w:szCs w:val="24"/>
          <w:lang w:val="fr-FR"/>
        </w:rPr>
        <w:lastRenderedPageBreak/>
        <w:t>Annexe</w:t>
      </w:r>
    </w:p>
    <w:p w14:paraId="4A9CED0E" w14:textId="77777777" w:rsidR="00404B57" w:rsidRPr="00404B57" w:rsidRDefault="00404B57" w:rsidP="00404B57">
      <w:pPr>
        <w:spacing w:after="0" w:line="240" w:lineRule="auto"/>
        <w:rPr>
          <w:lang w:val="fr-FR"/>
        </w:rPr>
      </w:pPr>
      <w:r w:rsidRPr="00404B57">
        <w:rPr>
          <w:lang w:val="fr-FR"/>
        </w:rPr>
        <w:t>Données pouvant être prises en compte pour l'analyse de l'IPC AMN (en l'absence de données actuelles)</w:t>
      </w:r>
    </w:p>
    <w:p w14:paraId="4A9CED0F" w14:textId="77777777" w:rsidR="00404B57" w:rsidRPr="00404B57" w:rsidRDefault="00404B57" w:rsidP="00404B57">
      <w:pPr>
        <w:spacing w:after="0" w:line="240" w:lineRule="auto"/>
        <w:rPr>
          <w:lang w:val="fr-FR"/>
        </w:rPr>
      </w:pPr>
    </w:p>
    <w:p w14:paraId="4A9CED10" w14:textId="77777777" w:rsidR="00404B57" w:rsidRPr="00370018" w:rsidRDefault="00404B57" w:rsidP="00404B57">
      <w:pPr>
        <w:spacing w:after="0" w:line="240" w:lineRule="auto"/>
        <w:rPr>
          <w:lang w:val="fr-FR"/>
        </w:rPr>
      </w:pPr>
      <w:r w:rsidRPr="00370018">
        <w:rPr>
          <w:lang w:val="fr-FR"/>
        </w:rPr>
        <w:t>Conformément à la version 3.0 du Manuel technique de l'IPC, en l'absence de données actuelles, les éléments suivants peuvent être utilisés pour effectuer une analyse IPC AMN :</w:t>
      </w:r>
    </w:p>
    <w:p w14:paraId="4A9CED11" w14:textId="77777777" w:rsidR="00404B57" w:rsidRPr="00404B57" w:rsidRDefault="00404B57" w:rsidP="00404B57">
      <w:pPr>
        <w:spacing w:after="0" w:line="240" w:lineRule="auto"/>
        <w:ind w:left="720"/>
        <w:rPr>
          <w:lang w:val="fr-FR"/>
        </w:rPr>
      </w:pPr>
      <w:r w:rsidRPr="00404B57">
        <w:rPr>
          <w:lang w:val="fr-FR"/>
        </w:rPr>
        <w:t>1. Données récentes (données collectées au cours des 6 derniers mois pour les zones bimodales et 12 mois pour les zones unimodales)</w:t>
      </w:r>
    </w:p>
    <w:p w14:paraId="4A9CED12" w14:textId="77777777" w:rsidR="00404B57" w:rsidRPr="00404B57" w:rsidRDefault="00404B57" w:rsidP="00404B57">
      <w:pPr>
        <w:spacing w:after="0" w:line="240" w:lineRule="auto"/>
        <w:ind w:left="720"/>
        <w:rPr>
          <w:lang w:val="fr-FR"/>
        </w:rPr>
      </w:pPr>
      <w:r w:rsidRPr="00404B57">
        <w:rPr>
          <w:lang w:val="fr-FR"/>
        </w:rPr>
        <w:t>2. Données historiques (2 estimations de la même saison de l'analyse au cours des 5 dernières années)</w:t>
      </w:r>
    </w:p>
    <w:p w14:paraId="4A9CED13" w14:textId="77777777" w:rsidR="00404B57" w:rsidRPr="00404B57" w:rsidRDefault="00404B57" w:rsidP="00404B57">
      <w:pPr>
        <w:spacing w:after="0" w:line="240" w:lineRule="auto"/>
        <w:ind w:left="720"/>
        <w:rPr>
          <w:lang w:val="fr-FR"/>
        </w:rPr>
      </w:pPr>
      <w:r w:rsidRPr="00404B57">
        <w:rPr>
          <w:lang w:val="fr-FR"/>
        </w:rPr>
        <w:t>3. Données collectées à l'aide des protocoles IPC pour les zones à accès humanitaire limité</w:t>
      </w:r>
    </w:p>
    <w:p w14:paraId="4A9CED14" w14:textId="77777777" w:rsidR="00BA6BC2" w:rsidRPr="00404B57" w:rsidRDefault="00BA6BC2" w:rsidP="00404B57">
      <w:pPr>
        <w:spacing w:after="0" w:line="240" w:lineRule="auto"/>
        <w:jc w:val="both"/>
        <w:rPr>
          <w:lang w:val="fr-FR"/>
        </w:rPr>
      </w:pPr>
    </w:p>
    <w:sectPr w:rsidR="00BA6BC2" w:rsidRPr="00404B57" w:rsidSect="0056499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CED17" w14:textId="77777777" w:rsidR="00531726" w:rsidRDefault="00531726" w:rsidP="00404B57">
      <w:pPr>
        <w:spacing w:after="0" w:line="240" w:lineRule="auto"/>
      </w:pPr>
      <w:r>
        <w:separator/>
      </w:r>
    </w:p>
  </w:endnote>
  <w:endnote w:type="continuationSeparator" w:id="0">
    <w:p w14:paraId="4A9CED18" w14:textId="77777777" w:rsidR="00531726" w:rsidRDefault="00531726" w:rsidP="0040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D1D" w14:textId="77777777" w:rsidR="00121AED" w:rsidRDefault="00121AED">
    <w:pPr>
      <w:pStyle w:val="Footer"/>
    </w:pPr>
  </w:p>
  <w:p w14:paraId="4A9CED1E" w14:textId="77777777" w:rsidR="00E929A3" w:rsidRDefault="00E929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748293"/>
      <w:docPartObj>
        <w:docPartGallery w:val="Page Numbers (Bottom of Page)"/>
        <w:docPartUnique/>
      </w:docPartObj>
    </w:sdtPr>
    <w:sdtEndPr>
      <w:rPr>
        <w:noProof/>
        <w:sz w:val="20"/>
        <w:szCs w:val="20"/>
      </w:rPr>
    </w:sdtEndPr>
    <w:sdtContent>
      <w:p w14:paraId="4A9CED1F" w14:textId="77777777" w:rsidR="00121AED" w:rsidRDefault="00EB7039">
        <w:pPr>
          <w:pStyle w:val="Footer"/>
          <w:jc w:val="right"/>
        </w:pPr>
        <w:r w:rsidRPr="00404B57">
          <w:rPr>
            <w:rFonts w:ascii="Calibri" w:hAnsi="Calibri" w:cs="Calibri"/>
          </w:rPr>
          <w:fldChar w:fldCharType="begin"/>
        </w:r>
        <w:r w:rsidRPr="00404B57">
          <w:rPr>
            <w:rFonts w:ascii="Calibri" w:hAnsi="Calibri" w:cs="Calibri"/>
          </w:rPr>
          <w:instrText xml:space="preserve"> PAGE   \* MERGEFORMAT </w:instrText>
        </w:r>
        <w:r w:rsidRPr="00404B57">
          <w:rPr>
            <w:rFonts w:ascii="Calibri" w:hAnsi="Calibri" w:cs="Calibri"/>
          </w:rPr>
          <w:fldChar w:fldCharType="separate"/>
        </w:r>
        <w:r w:rsidR="00BF36E2">
          <w:rPr>
            <w:rFonts w:ascii="Calibri" w:hAnsi="Calibri" w:cs="Calibri"/>
            <w:noProof/>
          </w:rPr>
          <w:t>5</w:t>
        </w:r>
        <w:r w:rsidRPr="00404B57">
          <w:rPr>
            <w:rFonts w:ascii="Calibri" w:hAnsi="Calibri" w:cs="Calibri"/>
            <w:noProof/>
          </w:rPr>
          <w:fldChar w:fldCharType="end"/>
        </w:r>
      </w:p>
    </w:sdtContent>
  </w:sdt>
  <w:p w14:paraId="4A9CED20" w14:textId="77777777" w:rsidR="00121AED" w:rsidRDefault="00121AED">
    <w:pPr>
      <w:pStyle w:val="Footer"/>
    </w:pPr>
  </w:p>
  <w:p w14:paraId="4A9CED21" w14:textId="77777777" w:rsidR="00E929A3" w:rsidRDefault="00E92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D23" w14:textId="77777777" w:rsidR="00121AED" w:rsidRDefault="00121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ED15" w14:textId="77777777" w:rsidR="00531726" w:rsidRDefault="00531726" w:rsidP="00404B57">
      <w:pPr>
        <w:spacing w:after="0" w:line="240" w:lineRule="auto"/>
      </w:pPr>
      <w:r>
        <w:separator/>
      </w:r>
    </w:p>
  </w:footnote>
  <w:footnote w:type="continuationSeparator" w:id="0">
    <w:p w14:paraId="4A9CED16" w14:textId="77777777" w:rsidR="00531726" w:rsidRDefault="00531726" w:rsidP="0040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D19" w14:textId="77777777" w:rsidR="00121AED" w:rsidRDefault="00121AED">
    <w:pPr>
      <w:pStyle w:val="Header"/>
    </w:pPr>
  </w:p>
  <w:p w14:paraId="4A9CED1A" w14:textId="77777777" w:rsidR="00E929A3" w:rsidRDefault="00E92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D1B" w14:textId="77777777" w:rsidR="00121AED" w:rsidRPr="00A30DD8" w:rsidRDefault="00121AED" w:rsidP="00A30DD8">
    <w:pPr>
      <w:pStyle w:val="Header"/>
    </w:pPr>
  </w:p>
  <w:p w14:paraId="4A9CED1C" w14:textId="77777777" w:rsidR="00E929A3" w:rsidRDefault="00E929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ED22" w14:textId="7D8A7429" w:rsidR="00121AED" w:rsidRDefault="00121AED">
    <w:r>
      <w:rPr>
        <w:noProof/>
      </w:rPr>
      <w:drawing>
        <wp:inline distT="0" distB="0" distL="0" distR="0" wp14:anchorId="43973C22" wp14:editId="40C720AD">
          <wp:extent cx="5731510" cy="695325"/>
          <wp:effectExtent l="0" t="0" r="2540" b="9525"/>
          <wp:docPr id="592801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01549" name="Picture 592801549"/>
                  <pic:cNvPicPr/>
                </pic:nvPicPr>
                <pic:blipFill>
                  <a:blip r:embed="rId1">
                    <a:extLst>
                      <a:ext uri="{28A0092B-C50C-407E-A947-70E740481C1C}">
                        <a14:useLocalDpi xmlns:a14="http://schemas.microsoft.com/office/drawing/2010/main" val="0"/>
                      </a:ext>
                    </a:extLst>
                  </a:blip>
                  <a:stretch>
                    <a:fillRect/>
                  </a:stretch>
                </pic:blipFill>
                <pic:spPr>
                  <a:xfrm>
                    <a:off x="0" y="0"/>
                    <a:ext cx="573151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76B9"/>
    <w:multiLevelType w:val="multilevel"/>
    <w:tmpl w:val="AE92A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A4E0D"/>
    <w:multiLevelType w:val="multilevel"/>
    <w:tmpl w:val="3EB2C580"/>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133C2956"/>
    <w:multiLevelType w:val="multilevel"/>
    <w:tmpl w:val="F886F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71751"/>
    <w:multiLevelType w:val="hybridMultilevel"/>
    <w:tmpl w:val="E8CA4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A677FF"/>
    <w:multiLevelType w:val="hybridMultilevel"/>
    <w:tmpl w:val="A57CFD5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3627F47"/>
    <w:multiLevelType w:val="hybridMultilevel"/>
    <w:tmpl w:val="C25E2ED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BB1EE7"/>
    <w:multiLevelType w:val="hybridMultilevel"/>
    <w:tmpl w:val="D318FC4A"/>
    <w:lvl w:ilvl="0" w:tplc="B8B8E75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4810D1"/>
    <w:multiLevelType w:val="hybridMultilevel"/>
    <w:tmpl w:val="7EBEA88A"/>
    <w:lvl w:ilvl="0" w:tplc="BB3C5BCE">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8" w15:restartNumberingAfterBreak="0">
    <w:nsid w:val="579A03DB"/>
    <w:multiLevelType w:val="hybridMultilevel"/>
    <w:tmpl w:val="41CA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A775A"/>
    <w:multiLevelType w:val="multilevel"/>
    <w:tmpl w:val="14D2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6D353D"/>
    <w:multiLevelType w:val="hybridMultilevel"/>
    <w:tmpl w:val="40C6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90BF4"/>
    <w:multiLevelType w:val="hybridMultilevel"/>
    <w:tmpl w:val="B80070E4"/>
    <w:lvl w:ilvl="0" w:tplc="D098D5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24299"/>
    <w:multiLevelType w:val="hybridMultilevel"/>
    <w:tmpl w:val="65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01257"/>
    <w:multiLevelType w:val="multilevel"/>
    <w:tmpl w:val="91CE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301466">
    <w:abstractNumId w:val="13"/>
  </w:num>
  <w:num w:numId="2" w16cid:durableId="1560554663">
    <w:abstractNumId w:val="2"/>
  </w:num>
  <w:num w:numId="3" w16cid:durableId="944112208">
    <w:abstractNumId w:val="9"/>
  </w:num>
  <w:num w:numId="4" w16cid:durableId="2016883482">
    <w:abstractNumId w:val="0"/>
  </w:num>
  <w:num w:numId="5" w16cid:durableId="1955669806">
    <w:abstractNumId w:val="8"/>
  </w:num>
  <w:num w:numId="6" w16cid:durableId="1746798590">
    <w:abstractNumId w:val="5"/>
  </w:num>
  <w:num w:numId="7" w16cid:durableId="575284849">
    <w:abstractNumId w:val="12"/>
  </w:num>
  <w:num w:numId="8" w16cid:durableId="1181896805">
    <w:abstractNumId w:val="6"/>
  </w:num>
  <w:num w:numId="9" w16cid:durableId="1761681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720304">
    <w:abstractNumId w:val="10"/>
  </w:num>
  <w:num w:numId="11" w16cid:durableId="635337730">
    <w:abstractNumId w:val="1"/>
  </w:num>
  <w:num w:numId="12" w16cid:durableId="129441617">
    <w:abstractNumId w:val="7"/>
  </w:num>
  <w:num w:numId="13" w16cid:durableId="1014377391">
    <w:abstractNumId w:val="4"/>
  </w:num>
  <w:num w:numId="14" w16cid:durableId="101156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A2"/>
    <w:rsid w:val="00121AED"/>
    <w:rsid w:val="002517B2"/>
    <w:rsid w:val="002F37B7"/>
    <w:rsid w:val="00404B57"/>
    <w:rsid w:val="00486365"/>
    <w:rsid w:val="00531726"/>
    <w:rsid w:val="005A59DF"/>
    <w:rsid w:val="00606DF1"/>
    <w:rsid w:val="00612356"/>
    <w:rsid w:val="006554EC"/>
    <w:rsid w:val="008A44EB"/>
    <w:rsid w:val="008B3BF7"/>
    <w:rsid w:val="00915565"/>
    <w:rsid w:val="00952948"/>
    <w:rsid w:val="00A310D3"/>
    <w:rsid w:val="00B22153"/>
    <w:rsid w:val="00BA6BC2"/>
    <w:rsid w:val="00BF0908"/>
    <w:rsid w:val="00BF1DCD"/>
    <w:rsid w:val="00BF36E2"/>
    <w:rsid w:val="00C443DD"/>
    <w:rsid w:val="00C55D08"/>
    <w:rsid w:val="00D24C14"/>
    <w:rsid w:val="00DD1CCB"/>
    <w:rsid w:val="00DF4B8D"/>
    <w:rsid w:val="00E3537C"/>
    <w:rsid w:val="00E929A3"/>
    <w:rsid w:val="00EB7039"/>
    <w:rsid w:val="00FC7FA2"/>
    <w:rsid w:val="00FF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CECC1"/>
  <w15:chartTrackingRefBased/>
  <w15:docId w15:val="{E96B9834-C078-48C8-84EE-FA785288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04B57"/>
    <w:pPr>
      <w:keepNext/>
      <w:keepLines/>
      <w:numPr>
        <w:numId w:val="11"/>
      </w:numPr>
      <w:spacing w:after="8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rsid w:val="00404B57"/>
    <w:pPr>
      <w:keepNext/>
      <w:keepLines/>
      <w:numPr>
        <w:ilvl w:val="1"/>
        <w:numId w:val="11"/>
      </w:numPr>
      <w:spacing w:after="21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4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4B57"/>
  </w:style>
  <w:style w:type="paragraph" w:styleId="Footer">
    <w:name w:val="footer"/>
    <w:basedOn w:val="Normal"/>
    <w:link w:val="FooterChar"/>
    <w:uiPriority w:val="99"/>
    <w:semiHidden/>
    <w:unhideWhenUsed/>
    <w:rsid w:val="00404B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4B57"/>
  </w:style>
  <w:style w:type="paragraph" w:styleId="FootnoteText">
    <w:name w:val="footnote text"/>
    <w:basedOn w:val="Normal"/>
    <w:link w:val="FootnoteTextChar"/>
    <w:uiPriority w:val="99"/>
    <w:semiHidden/>
    <w:unhideWhenUsed/>
    <w:rsid w:val="00404B57"/>
    <w:pPr>
      <w:spacing w:after="0" w:line="240" w:lineRule="auto"/>
    </w:pPr>
    <w:rPr>
      <w:rFonts w:ascii="Arial" w:eastAsia="Arial" w:hAnsi="Arial" w:cs="Arial"/>
      <w:sz w:val="20"/>
      <w:szCs w:val="20"/>
      <w:lang w:val="en-GB"/>
    </w:rPr>
  </w:style>
  <w:style w:type="character" w:customStyle="1" w:styleId="FootnoteTextChar">
    <w:name w:val="Footnote Text Char"/>
    <w:basedOn w:val="DefaultParagraphFont"/>
    <w:link w:val="FootnoteText"/>
    <w:uiPriority w:val="99"/>
    <w:semiHidden/>
    <w:rsid w:val="00404B57"/>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404B57"/>
    <w:rPr>
      <w:vertAlign w:val="superscript"/>
    </w:rPr>
  </w:style>
  <w:style w:type="character" w:customStyle="1" w:styleId="Hyperlink1">
    <w:name w:val="Hyperlink1"/>
    <w:basedOn w:val="DefaultParagraphFont"/>
    <w:uiPriority w:val="99"/>
    <w:unhideWhenUsed/>
    <w:rsid w:val="00404B57"/>
    <w:rPr>
      <w:color w:val="0000FF"/>
      <w:u w:val="single"/>
    </w:rPr>
  </w:style>
  <w:style w:type="character" w:styleId="Hyperlink">
    <w:name w:val="Hyperlink"/>
    <w:basedOn w:val="DefaultParagraphFont"/>
    <w:uiPriority w:val="99"/>
    <w:semiHidden/>
    <w:unhideWhenUsed/>
    <w:rsid w:val="00404B57"/>
    <w:rPr>
      <w:color w:val="0563C1" w:themeColor="hyperlink"/>
      <w:u w:val="single"/>
    </w:rPr>
  </w:style>
  <w:style w:type="character" w:customStyle="1" w:styleId="Heading1Char">
    <w:name w:val="Heading 1 Char"/>
    <w:basedOn w:val="DefaultParagraphFont"/>
    <w:link w:val="Heading1"/>
    <w:uiPriority w:val="9"/>
    <w:rsid w:val="00404B57"/>
    <w:rPr>
      <w:rFonts w:ascii="Calibri" w:eastAsia="Calibri" w:hAnsi="Calibri" w:cs="Calibri"/>
      <w:b/>
      <w:color w:val="000000"/>
      <w:sz w:val="24"/>
    </w:rPr>
  </w:style>
  <w:style w:type="character" w:customStyle="1" w:styleId="Heading2Char">
    <w:name w:val="Heading 2 Char"/>
    <w:basedOn w:val="DefaultParagraphFont"/>
    <w:link w:val="Heading2"/>
    <w:uiPriority w:val="9"/>
    <w:rsid w:val="00404B57"/>
    <w:rPr>
      <w:rFonts w:ascii="Calibri" w:eastAsia="Calibri" w:hAnsi="Calibri" w:cs="Calibri"/>
      <w:b/>
      <w:color w:val="000000"/>
    </w:rPr>
  </w:style>
  <w:style w:type="paragraph" w:styleId="ListParagraph">
    <w:name w:val="List Paragraph"/>
    <w:basedOn w:val="Normal"/>
    <w:uiPriority w:val="34"/>
    <w:qFormat/>
    <w:rsid w:val="00404B57"/>
    <w:pPr>
      <w:spacing w:after="110" w:line="248" w:lineRule="auto"/>
      <w:ind w:left="720" w:right="59" w:hanging="10"/>
      <w:contextualSpacing/>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C4EEC-E3CE-4FCE-9405-D26A1B340C0A}">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d1d1d275-8768-4d4a-979e-aa04a4efa952"/>
    <ds:schemaRef ds:uri="http://schemas.microsoft.com/office/infopath/2007/PartnerControls"/>
    <ds:schemaRef ds:uri="http://schemas.openxmlformats.org/package/2006/metadata/core-properties"/>
    <ds:schemaRef ds:uri="60b383c8-d514-46d9-801f-d9bf9d31236e"/>
    <ds:schemaRef ds:uri="http://purl.org/dc/dcmitype/"/>
  </ds:schemaRefs>
</ds:datastoreItem>
</file>

<file path=customXml/itemProps2.xml><?xml version="1.0" encoding="utf-8"?>
<ds:datastoreItem xmlns:ds="http://schemas.openxmlformats.org/officeDocument/2006/customXml" ds:itemID="{B4F2F721-1F0A-48B5-8E73-9880427CA675}">
  <ds:schemaRefs>
    <ds:schemaRef ds:uri="http://schemas.microsoft.com/sharepoint/v3/contenttype/forms"/>
  </ds:schemaRefs>
</ds:datastoreItem>
</file>

<file path=customXml/itemProps3.xml><?xml version="1.0" encoding="utf-8"?>
<ds:datastoreItem xmlns:ds="http://schemas.openxmlformats.org/officeDocument/2006/customXml" ds:itemID="{30C928C9-DFE2-4FA8-A640-1817A4BBC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Moctar (ESA)</dc:creator>
  <cp:keywords/>
  <dc:description/>
  <cp:lastModifiedBy>DiCocco, Sharon (ESA)</cp:lastModifiedBy>
  <cp:revision>3</cp:revision>
  <dcterms:created xsi:type="dcterms:W3CDTF">2020-05-29T11:26:00Z</dcterms:created>
  <dcterms:modified xsi:type="dcterms:W3CDTF">2024-11-28T16:27:00Z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